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5B4EE72A" w:rsidR="00895250" w:rsidRPr="007E063A" w:rsidRDefault="00895250" w:rsidP="00895250">
      <w:pPr>
        <w:widowControl w:val="0"/>
        <w:tabs>
          <w:tab w:val="left" w:pos="1701"/>
          <w:tab w:val="right" w:pos="9923"/>
        </w:tabs>
        <w:spacing w:before="120"/>
        <w:rPr>
          <w:rFonts w:ascii="Arial" w:eastAsia="MS Mincho" w:hAnsi="Arial" w:cs="Arial"/>
          <w:b/>
          <w:sz w:val="24"/>
          <w:szCs w:val="24"/>
          <w:lang w:val="en-GB"/>
        </w:rPr>
      </w:pPr>
      <w:bookmarkStart w:id="0" w:name="OLE_LINK137"/>
      <w:bookmarkStart w:id="1" w:name="OLE_LINK138"/>
      <w:r w:rsidRPr="007E063A">
        <w:rPr>
          <w:rFonts w:ascii="Arial" w:eastAsia="MS Mincho" w:hAnsi="Arial" w:cs="Arial"/>
          <w:b/>
          <w:sz w:val="24"/>
          <w:szCs w:val="24"/>
          <w:lang w:val="en-GB" w:eastAsia="x-none"/>
        </w:rPr>
        <w:t>3GPP TSG</w:t>
      </w:r>
      <w:r w:rsidR="002E4520" w:rsidRPr="007E063A">
        <w:rPr>
          <w:rFonts w:ascii="Arial" w:eastAsia="MS Mincho" w:hAnsi="Arial" w:cs="Arial"/>
          <w:b/>
          <w:sz w:val="24"/>
          <w:szCs w:val="24"/>
          <w:lang w:val="en-GB" w:eastAsia="x-none"/>
        </w:rPr>
        <w:t>-RA</w:t>
      </w:r>
      <w:r w:rsidR="001B3B49" w:rsidRPr="007E063A">
        <w:rPr>
          <w:rFonts w:ascii="Arial" w:eastAsia="MS Mincho" w:hAnsi="Arial" w:cs="Arial"/>
          <w:b/>
          <w:sz w:val="24"/>
          <w:szCs w:val="24"/>
          <w:lang w:val="en-GB" w:eastAsia="x-none"/>
        </w:rPr>
        <w:t>N WG2 Meeting #107</w:t>
      </w:r>
      <w:r w:rsidR="008F5F06">
        <w:rPr>
          <w:rFonts w:ascii="Arial" w:eastAsia="MS Mincho" w:hAnsi="Arial" w:cs="Arial"/>
          <w:b/>
          <w:sz w:val="24"/>
          <w:szCs w:val="24"/>
          <w:lang w:val="en-GB" w:eastAsia="x-none"/>
        </w:rPr>
        <w:t>bis</w:t>
      </w:r>
      <w:r w:rsidR="00FD0281" w:rsidRPr="007E063A">
        <w:rPr>
          <w:rFonts w:ascii="Arial" w:eastAsia="MS Mincho" w:hAnsi="Arial" w:cs="Arial"/>
          <w:b/>
          <w:sz w:val="24"/>
          <w:szCs w:val="24"/>
          <w:lang w:val="en-GB" w:eastAsia="x-none"/>
        </w:rPr>
        <w:tab/>
        <w:t>R2-1</w:t>
      </w:r>
      <w:r w:rsidR="00F656BB">
        <w:rPr>
          <w:rFonts w:ascii="Arial" w:eastAsia="MS Mincho" w:hAnsi="Arial" w:cs="Arial"/>
          <w:b/>
          <w:sz w:val="24"/>
          <w:szCs w:val="24"/>
          <w:lang w:val="en-GB" w:eastAsia="x-none"/>
        </w:rPr>
        <w:t>913001</w:t>
      </w:r>
      <w:bookmarkStart w:id="2" w:name="_GoBack"/>
      <w:bookmarkEnd w:id="2"/>
    </w:p>
    <w:p w14:paraId="6877EE3A" w14:textId="5560C4FF" w:rsidR="00895250" w:rsidRPr="007E063A" w:rsidRDefault="008F5F06" w:rsidP="00895250">
      <w:pPr>
        <w:widowControl w:val="0"/>
        <w:tabs>
          <w:tab w:val="left" w:pos="1701"/>
          <w:tab w:val="right" w:pos="9923"/>
        </w:tabs>
        <w:spacing w:before="120"/>
        <w:rPr>
          <w:rFonts w:ascii="Arial" w:eastAsia="MS Mincho" w:hAnsi="Arial" w:cs="Arial"/>
          <w:b/>
          <w:i/>
          <w:sz w:val="24"/>
          <w:szCs w:val="24"/>
          <w:lang w:val="en-GB" w:eastAsia="x-none"/>
        </w:rPr>
      </w:pPr>
      <w:r w:rsidRPr="008F5F06">
        <w:rPr>
          <w:rFonts w:ascii="Arial" w:eastAsia="MS Mincho" w:hAnsi="Arial" w:cs="Arial"/>
          <w:b/>
          <w:sz w:val="24"/>
          <w:szCs w:val="24"/>
          <w:lang w:val="en-GB" w:eastAsia="x-none"/>
        </w:rPr>
        <w:t>Chongqing, China, 14th – 18th October 2019</w:t>
      </w:r>
      <w:r w:rsidR="00151C74">
        <w:rPr>
          <w:rFonts w:ascii="Arial" w:eastAsia="MS Mincho" w:hAnsi="Arial" w:cs="Arial"/>
          <w:b/>
          <w:sz w:val="24"/>
          <w:szCs w:val="24"/>
          <w:lang w:val="en-GB" w:eastAsia="x-none"/>
        </w:rPr>
        <w:tab/>
      </w:r>
      <w:r w:rsidR="00151C74" w:rsidRPr="00151C74">
        <w:rPr>
          <w:rFonts w:ascii="Arial" w:eastAsia="MS Mincho" w:hAnsi="Arial" w:cs="Arial"/>
          <w:b/>
          <w:i/>
          <w:szCs w:val="24"/>
          <w:lang w:val="en-GB" w:eastAsia="x-none"/>
        </w:rPr>
        <w:t>Resubmission of R2-1908947</w:t>
      </w:r>
    </w:p>
    <w:p w14:paraId="41F9B491" w14:textId="49EFE19E" w:rsidR="0097167E" w:rsidRPr="007E063A"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7E063A" w:rsidRDefault="00A07E02" w:rsidP="00A07E02">
      <w:pPr>
        <w:pStyle w:val="3GPPHeader"/>
        <w:rPr>
          <w:rFonts w:ascii="Arial" w:hAnsi="Arial" w:cs="Arial"/>
          <w:color w:val="FF0000"/>
          <w:szCs w:val="24"/>
          <w:lang w:eastAsia="zh-TW"/>
        </w:rPr>
      </w:pPr>
    </w:p>
    <w:p w14:paraId="027912C8" w14:textId="3EC5EE06" w:rsidR="00A07E02" w:rsidRPr="007E063A" w:rsidRDefault="00A07E02" w:rsidP="00A07E02">
      <w:pPr>
        <w:pStyle w:val="3GPPHeader"/>
        <w:rPr>
          <w:rFonts w:ascii="Arial" w:hAnsi="Arial" w:cs="Arial"/>
          <w:szCs w:val="24"/>
        </w:rPr>
      </w:pPr>
      <w:r w:rsidRPr="007E063A">
        <w:rPr>
          <w:rFonts w:ascii="Arial" w:hAnsi="Arial" w:cs="Arial"/>
          <w:szCs w:val="24"/>
        </w:rPr>
        <w:t>Agenda Item:</w:t>
      </w:r>
      <w:r w:rsidRPr="007E063A">
        <w:rPr>
          <w:rFonts w:ascii="Arial" w:hAnsi="Arial" w:cs="Arial"/>
          <w:szCs w:val="24"/>
        </w:rPr>
        <w:tab/>
      </w:r>
      <w:r w:rsidR="00A161A5">
        <w:rPr>
          <w:rFonts w:ascii="Arial" w:hAnsi="Arial" w:cs="Arial"/>
          <w:szCs w:val="24"/>
        </w:rPr>
        <w:t>6</w:t>
      </w:r>
      <w:r w:rsidR="005D5684" w:rsidRPr="007E063A">
        <w:rPr>
          <w:rFonts w:ascii="Arial" w:hAnsi="Arial" w:cs="Arial"/>
          <w:szCs w:val="24"/>
        </w:rPr>
        <w:t>.9.3</w:t>
      </w:r>
      <w:r w:rsidR="00DA5994">
        <w:rPr>
          <w:rFonts w:ascii="Arial" w:hAnsi="Arial" w:cs="Arial"/>
          <w:szCs w:val="24"/>
        </w:rPr>
        <w:t>.</w:t>
      </w:r>
      <w:r w:rsidR="00157CBF">
        <w:rPr>
          <w:rFonts w:ascii="Arial" w:hAnsi="Arial" w:cs="Arial"/>
          <w:szCs w:val="24"/>
        </w:rPr>
        <w:t>3</w:t>
      </w:r>
    </w:p>
    <w:p w14:paraId="79D236BA" w14:textId="77777777" w:rsidR="00A07E02" w:rsidRPr="007E063A" w:rsidRDefault="00A07E02" w:rsidP="00A07E02">
      <w:pPr>
        <w:pStyle w:val="3GPPHeader"/>
        <w:rPr>
          <w:rFonts w:ascii="Arial" w:hAnsi="Arial" w:cs="Arial"/>
          <w:szCs w:val="24"/>
        </w:rPr>
      </w:pPr>
      <w:r w:rsidRPr="007E063A">
        <w:rPr>
          <w:rFonts w:ascii="Arial" w:hAnsi="Arial" w:cs="Arial"/>
          <w:szCs w:val="24"/>
        </w:rPr>
        <w:t xml:space="preserve">Source: </w:t>
      </w:r>
      <w:r w:rsidRPr="007E063A">
        <w:rPr>
          <w:rFonts w:ascii="Arial" w:hAnsi="Arial" w:cs="Arial"/>
          <w:szCs w:val="24"/>
        </w:rPr>
        <w:tab/>
        <w:t>MediaTek Inc.</w:t>
      </w:r>
    </w:p>
    <w:p w14:paraId="108A86FF" w14:textId="6827C8DE" w:rsidR="00A07E02" w:rsidRPr="007E063A" w:rsidRDefault="00FF0668" w:rsidP="00A07E02">
      <w:pPr>
        <w:pStyle w:val="3GPPHeaderArial"/>
        <w:tabs>
          <w:tab w:val="left" w:pos="1701"/>
        </w:tabs>
        <w:rPr>
          <w:b/>
          <w:sz w:val="24"/>
          <w:lang w:val="en-GB" w:eastAsia="zh-TW"/>
        </w:rPr>
      </w:pPr>
      <w:r w:rsidRPr="007E063A">
        <w:rPr>
          <w:b/>
          <w:sz w:val="24"/>
          <w:lang w:val="en-GB"/>
        </w:rPr>
        <w:t xml:space="preserve">Title:  </w:t>
      </w:r>
      <w:r w:rsidRPr="007E063A">
        <w:rPr>
          <w:b/>
          <w:sz w:val="24"/>
          <w:lang w:val="en-GB"/>
        </w:rPr>
        <w:tab/>
      </w:r>
      <w:r w:rsidR="00332E0D" w:rsidRPr="00332E0D">
        <w:rPr>
          <w:b/>
          <w:sz w:val="24"/>
          <w:lang w:val="en-GB"/>
        </w:rPr>
        <w:t>Measurement Report for Conditional Handover Procedures</w:t>
      </w:r>
    </w:p>
    <w:p w14:paraId="2D698DC6" w14:textId="77777777" w:rsidR="00A07E02" w:rsidRPr="007E063A" w:rsidRDefault="00A07E02" w:rsidP="00A07E02">
      <w:pPr>
        <w:pStyle w:val="3GPPHeaderArial"/>
        <w:tabs>
          <w:tab w:val="left" w:pos="1701"/>
        </w:tabs>
        <w:rPr>
          <w:b/>
          <w:sz w:val="24"/>
          <w:lang w:val="en-GB" w:eastAsia="zh-TW"/>
        </w:rPr>
      </w:pPr>
    </w:p>
    <w:p w14:paraId="4570B40E" w14:textId="77777777" w:rsidR="00A07E02" w:rsidRPr="007E063A" w:rsidRDefault="00A07E02" w:rsidP="00A07E02">
      <w:pPr>
        <w:pStyle w:val="3GPPHeader"/>
        <w:rPr>
          <w:rFonts w:ascii="Arial" w:hAnsi="Arial" w:cs="Arial"/>
          <w:szCs w:val="24"/>
        </w:rPr>
      </w:pPr>
      <w:r w:rsidRPr="007E063A">
        <w:rPr>
          <w:rFonts w:ascii="Arial" w:hAnsi="Arial" w:cs="Arial"/>
          <w:szCs w:val="24"/>
        </w:rPr>
        <w:t>Document for:</w:t>
      </w:r>
      <w:r w:rsidRPr="007E063A">
        <w:rPr>
          <w:rFonts w:ascii="Arial" w:hAnsi="Arial" w:cs="Arial"/>
          <w:szCs w:val="24"/>
        </w:rPr>
        <w:tab/>
        <w:t>Discussion and decision</w:t>
      </w:r>
    </w:p>
    <w:p w14:paraId="0FB84FBC" w14:textId="77777777" w:rsidR="00A07E02" w:rsidRPr="007E063A" w:rsidRDefault="00A07E02" w:rsidP="00A07E02">
      <w:pPr>
        <w:pStyle w:val="1"/>
        <w:overflowPunct w:val="0"/>
        <w:autoSpaceDE w:val="0"/>
        <w:autoSpaceDN w:val="0"/>
        <w:adjustRightInd w:val="0"/>
        <w:rPr>
          <w:rFonts w:eastAsia="新細明體" w:cs="Arial"/>
        </w:rPr>
      </w:pPr>
      <w:r w:rsidRPr="007E063A">
        <w:rPr>
          <w:rFonts w:eastAsia="新細明體" w:cs="Arial"/>
        </w:rPr>
        <w:t>Introduction</w:t>
      </w:r>
      <w:bookmarkStart w:id="3" w:name="OLE_LINK39"/>
      <w:bookmarkStart w:id="4" w:name="OLE_LINK38"/>
      <w:bookmarkStart w:id="5" w:name="OLE_LINK37"/>
    </w:p>
    <w:p w14:paraId="6C0A8CC5" w14:textId="7FE33177" w:rsidR="00804DA5" w:rsidRPr="007E063A" w:rsidRDefault="00804DA5" w:rsidP="00AF19D5">
      <w:pPr>
        <w:spacing w:after="120"/>
        <w:jc w:val="both"/>
        <w:rPr>
          <w:rFonts w:ascii="Arial" w:hAnsi="Arial" w:cs="Arial"/>
          <w:sz w:val="20"/>
          <w:szCs w:val="20"/>
          <w:lang w:val="en-GB"/>
        </w:rPr>
      </w:pPr>
      <w:r w:rsidRPr="007E063A">
        <w:rPr>
          <w:rFonts w:ascii="Arial" w:hAnsi="Arial" w:cs="Arial"/>
          <w:sz w:val="20"/>
          <w:szCs w:val="20"/>
          <w:lang w:val="en-GB"/>
        </w:rPr>
        <w:t>I</w:t>
      </w:r>
      <w:r w:rsidR="00F9779F" w:rsidRPr="007E063A">
        <w:rPr>
          <w:rFonts w:ascii="Arial" w:hAnsi="Arial" w:cs="Arial"/>
          <w:sz w:val="20"/>
          <w:szCs w:val="20"/>
          <w:lang w:val="en-GB"/>
        </w:rPr>
        <w:t>n RAN2#106</w:t>
      </w:r>
      <w:r w:rsidRPr="007E063A">
        <w:rPr>
          <w:rFonts w:ascii="Arial" w:hAnsi="Arial" w:cs="Arial"/>
          <w:sz w:val="20"/>
          <w:szCs w:val="20"/>
          <w:lang w:val="en-GB"/>
        </w:rPr>
        <w:t xml:space="preserve"> meeting, we made some further progress about conditional handover (CHO) </w:t>
      </w:r>
      <w:r w:rsidR="005E1BC7" w:rsidRPr="007E063A">
        <w:rPr>
          <w:rFonts w:ascii="Arial" w:hAnsi="Arial" w:cs="Arial"/>
          <w:sz w:val="20"/>
          <w:szCs w:val="20"/>
          <w:lang w:val="en-GB"/>
        </w:rPr>
        <w:t xml:space="preserve">procedures </w:t>
      </w:r>
      <w:r w:rsidRPr="007E063A">
        <w:rPr>
          <w:rFonts w:ascii="Arial" w:hAnsi="Arial" w:cs="Arial"/>
          <w:sz w:val="20"/>
          <w:szCs w:val="20"/>
          <w:lang w:val="en-GB"/>
        </w:rPr>
        <w:t>for handover robustness improvement in LTE and NR.</w:t>
      </w:r>
      <w:r w:rsidR="00151B1F" w:rsidRPr="007E063A">
        <w:rPr>
          <w:rFonts w:ascii="Arial" w:hAnsi="Arial" w:cs="Arial"/>
          <w:sz w:val="20"/>
          <w:szCs w:val="20"/>
          <w:lang w:val="en-GB"/>
        </w:rPr>
        <w:t xml:space="preserve"> Agreements that are applicable to </w:t>
      </w:r>
      <w:r w:rsidR="00B63170" w:rsidRPr="007E063A">
        <w:rPr>
          <w:rFonts w:ascii="Arial" w:hAnsi="Arial" w:cs="Arial"/>
          <w:sz w:val="20"/>
          <w:szCs w:val="20"/>
          <w:lang w:val="en-GB"/>
        </w:rPr>
        <w:t>NR can be summarized</w:t>
      </w:r>
      <w:r w:rsidR="00151B1F" w:rsidRPr="007E063A">
        <w:rPr>
          <w:rFonts w:ascii="Arial" w:hAnsi="Arial" w:cs="Arial"/>
          <w:sz w:val="20"/>
          <w:szCs w:val="20"/>
          <w:lang w:val="en-GB"/>
        </w:rPr>
        <w:t xml:space="preserve"> as follows.</w:t>
      </w:r>
    </w:p>
    <w:tbl>
      <w:tblPr>
        <w:tblStyle w:val="af9"/>
        <w:tblW w:w="0" w:type="auto"/>
        <w:tblLook w:val="04A0" w:firstRow="1" w:lastRow="0" w:firstColumn="1" w:lastColumn="0" w:noHBand="0" w:noVBand="1"/>
      </w:tblPr>
      <w:tblGrid>
        <w:gridCol w:w="9629"/>
      </w:tblGrid>
      <w:tr w:rsidR="00F9779F" w:rsidRPr="007E063A" w14:paraId="538B02E0" w14:textId="77777777" w:rsidTr="00F9779F">
        <w:tc>
          <w:tcPr>
            <w:tcW w:w="9629" w:type="dxa"/>
          </w:tcPr>
          <w:p w14:paraId="449F0E48" w14:textId="5FA2518D" w:rsidR="00F9779F" w:rsidRPr="007E063A" w:rsidRDefault="00F9779F" w:rsidP="00F9779F">
            <w:pPr>
              <w:spacing w:after="120"/>
              <w:jc w:val="both"/>
              <w:rPr>
                <w:rFonts w:ascii="Arial" w:hAnsi="Arial" w:cs="Arial"/>
                <w:sz w:val="20"/>
                <w:szCs w:val="20"/>
                <w:lang w:val="en-GB"/>
              </w:rPr>
            </w:pPr>
            <w:r w:rsidRPr="007E063A">
              <w:rPr>
                <w:rFonts w:ascii="Arial" w:hAnsi="Arial" w:cs="Arial"/>
                <w:sz w:val="20"/>
                <w:szCs w:val="20"/>
                <w:highlight w:val="green"/>
                <w:lang w:val="en-GB"/>
              </w:rPr>
              <w:t>Agreements</w:t>
            </w:r>
          </w:p>
          <w:p w14:paraId="24F3BABF"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1</w:t>
            </w:r>
            <w:r w:rsidRPr="007E063A">
              <w:rPr>
                <w:rFonts w:ascii="Arial" w:hAnsi="Arial" w:cs="Arial"/>
                <w:sz w:val="20"/>
                <w:szCs w:val="20"/>
                <w:lang w:val="en-GB"/>
              </w:rPr>
              <w:tab/>
              <w:t>Separate CHO execution condition(s) can be configured for each individual candidate cells.</w:t>
            </w:r>
          </w:p>
          <w:p w14:paraId="354FFC04"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2</w:t>
            </w:r>
            <w:r w:rsidRPr="007E063A">
              <w:rPr>
                <w:rFonts w:ascii="Arial" w:hAnsi="Arial" w:cs="Arial"/>
                <w:sz w:val="20"/>
                <w:szCs w:val="20"/>
                <w:lang w:val="en-GB"/>
              </w:rPr>
              <w:tab/>
              <w:t>Define a CHO execution condition by the measurement identity which identifies a measurement configuration. (FFS to be addressed in stage 3 which parts of the measurement configuration are used for the CHO triggering).</w:t>
            </w:r>
          </w:p>
          <w:p w14:paraId="5883FBFE"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3</w:t>
            </w:r>
            <w:r w:rsidRPr="007E063A">
              <w:rPr>
                <w:rFonts w:ascii="Arial" w:hAnsi="Arial" w:cs="Arial"/>
                <w:sz w:val="20"/>
                <w:szCs w:val="20"/>
                <w:lang w:val="en-GB"/>
              </w:rPr>
              <w:tab/>
              <w:t>As a baseline CHO can be triggered based on a condition consisting of a single event, singe quantity.</w:t>
            </w:r>
          </w:p>
          <w:p w14:paraId="5A67379B"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3.1</w:t>
            </w:r>
            <w:r w:rsidRPr="007E063A">
              <w:rPr>
                <w:rFonts w:ascii="Arial" w:hAnsi="Arial" w:cs="Arial"/>
                <w:sz w:val="20"/>
                <w:szCs w:val="20"/>
                <w:lang w:val="en-GB"/>
              </w:rPr>
              <w:tab/>
              <w:t>The single trigger quantity can be configured to be RSRP, RSRQ or RS-SINR.</w:t>
            </w:r>
          </w:p>
          <w:p w14:paraId="1DED96C2" w14:textId="43EADA7C" w:rsidR="00B63170" w:rsidRPr="007E063A" w:rsidRDefault="00B63170" w:rsidP="00F9779F">
            <w:pPr>
              <w:spacing w:after="60"/>
              <w:jc w:val="both"/>
              <w:rPr>
                <w:rFonts w:ascii="Arial" w:hAnsi="Arial" w:cs="Arial"/>
                <w:sz w:val="20"/>
                <w:szCs w:val="20"/>
                <w:lang w:val="en-GB"/>
              </w:rPr>
            </w:pPr>
            <w:r w:rsidRPr="007E063A">
              <w:rPr>
                <w:rFonts w:ascii="Arial" w:hAnsi="Arial" w:cs="Arial"/>
                <w:sz w:val="20"/>
                <w:szCs w:val="20"/>
                <w:lang w:val="en-GB"/>
              </w:rPr>
              <w:t>3.2</w:t>
            </w:r>
            <w:r w:rsidRPr="007E063A">
              <w:rPr>
                <w:rFonts w:ascii="Arial" w:hAnsi="Arial" w:cs="Arial"/>
                <w:sz w:val="20"/>
                <w:szCs w:val="20"/>
                <w:lang w:val="en-GB"/>
              </w:rPr>
              <w:tab/>
              <w:t>The single RS type can be configured to be SSB or CSI-RS</w:t>
            </w:r>
          </w:p>
          <w:p w14:paraId="44CD2A92"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FFS Whether multiple triggering conditions are required.</w:t>
            </w:r>
          </w:p>
          <w:p w14:paraId="0DE70726"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4</w:t>
            </w:r>
            <w:r w:rsidRPr="007E063A">
              <w:rPr>
                <w:rFonts w:ascii="Arial" w:hAnsi="Arial" w:cs="Arial"/>
                <w:sz w:val="20"/>
                <w:szCs w:val="20"/>
                <w:lang w:val="en-GB"/>
              </w:rPr>
              <w:tab/>
              <w:t>Deconfiguration of CHO candidates is performed by RRC signalling (we will not introduce timer based mechanism for the UE to deconfiguration of the CHO candidates).</w:t>
            </w:r>
          </w:p>
          <w:p w14:paraId="7309E3B1"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5</w:t>
            </w:r>
            <w:r w:rsidRPr="007E063A">
              <w:rPr>
                <w:rFonts w:ascii="Arial" w:hAnsi="Arial" w:cs="Arial"/>
                <w:sz w:val="20"/>
                <w:szCs w:val="20"/>
                <w:lang w:val="en-GB"/>
              </w:rPr>
              <w:tab/>
              <w:t>Baseline that configuration of all CHO candidates are released after successful (any) handover completion (sending complete message to the target cell).</w:t>
            </w:r>
          </w:p>
          <w:p w14:paraId="5D70E18E"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FFS if it might be possible to keep CHO candidates after the HO.</w:t>
            </w:r>
          </w:p>
          <w:p w14:paraId="4E89DFEC"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6</w:t>
            </w:r>
            <w:r w:rsidRPr="007E063A">
              <w:rPr>
                <w:rFonts w:ascii="Arial" w:hAnsi="Arial" w:cs="Arial"/>
                <w:sz w:val="20"/>
                <w:szCs w:val="20"/>
                <w:lang w:val="en-GB"/>
              </w:rPr>
              <w:tab/>
              <w:t xml:space="preserve">UE shall not stop T310 and shall not start T304 when it receives configuration of a CHO candidate </w:t>
            </w:r>
          </w:p>
          <w:p w14:paraId="1A604AB0"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7</w:t>
            </w:r>
            <w:r w:rsidRPr="007E063A">
              <w:rPr>
                <w:rFonts w:ascii="Arial" w:hAnsi="Arial" w:cs="Arial"/>
                <w:sz w:val="20"/>
                <w:szCs w:val="20"/>
                <w:lang w:val="en-GB"/>
              </w:rPr>
              <w:tab/>
              <w:t>The timer T310 is stopped and timer T304-like is started when the UE begins execution of a conditional handover for a target cell. (Stage 3 detail whether we reuse T304 or define a new timer)</w:t>
            </w:r>
          </w:p>
          <w:p w14:paraId="7B1DEF44"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Working assumption:</w:t>
            </w:r>
          </w:p>
          <w:p w14:paraId="4670FFC9"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8</w:t>
            </w:r>
            <w:r w:rsidRPr="007E063A">
              <w:rPr>
                <w:rFonts w:ascii="Arial" w:hAnsi="Arial" w:cs="Arial"/>
                <w:sz w:val="20"/>
                <w:szCs w:val="20"/>
                <w:lang w:val="en-GB"/>
              </w:rPr>
              <w:tab/>
              <w:t>At RLF the UE performs cell selection and if the selected cell is a CHO candidate then the UE attempts CHO execution, otherwise re-establishment is performed.</w:t>
            </w:r>
          </w:p>
          <w:p w14:paraId="28B2198D" w14:textId="78119410"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9</w:t>
            </w:r>
            <w:r w:rsidRPr="007E063A">
              <w:rPr>
                <w:rFonts w:ascii="Arial" w:hAnsi="Arial" w:cs="Arial"/>
                <w:sz w:val="20"/>
                <w:szCs w:val="20"/>
                <w:lang w:val="en-GB"/>
              </w:rPr>
              <w:tab/>
              <w:t>At legacy handover failure (T304 expiry) or failure to access a CHO candidate cell (T304-like expiry), the UE performs cell selection and if the selected cell is a CHO candidate then the UE attempts CHO execution, otherwise re-establishment is performed.</w:t>
            </w:r>
          </w:p>
        </w:tc>
      </w:tr>
    </w:tbl>
    <w:p w14:paraId="75413767" w14:textId="77777777" w:rsidR="00E62BA0" w:rsidRPr="007E063A" w:rsidRDefault="00E62BA0" w:rsidP="00AE35EC">
      <w:pPr>
        <w:spacing w:after="120"/>
        <w:jc w:val="both"/>
        <w:rPr>
          <w:rFonts w:ascii="Arial" w:hAnsi="Arial" w:cs="Arial"/>
          <w:sz w:val="20"/>
          <w:szCs w:val="20"/>
          <w:lang w:val="en-GB"/>
        </w:rPr>
      </w:pPr>
    </w:p>
    <w:p w14:paraId="654FBED2" w14:textId="496E6994" w:rsidR="001D73FB" w:rsidRPr="007E063A" w:rsidRDefault="007048F9" w:rsidP="00AE35EC">
      <w:pPr>
        <w:spacing w:after="120"/>
        <w:jc w:val="both"/>
        <w:rPr>
          <w:rFonts w:ascii="Arial" w:hAnsi="Arial" w:cs="Arial"/>
          <w:sz w:val="20"/>
          <w:szCs w:val="20"/>
          <w:lang w:val="en-GB"/>
        </w:rPr>
      </w:pPr>
      <w:r w:rsidRPr="007E063A">
        <w:rPr>
          <w:rFonts w:ascii="Arial" w:hAnsi="Arial" w:cs="Arial"/>
          <w:sz w:val="20"/>
          <w:szCs w:val="20"/>
          <w:lang w:val="en-GB"/>
        </w:rPr>
        <w:t>In this contribution</w:t>
      </w:r>
      <w:r w:rsidR="00950AE4" w:rsidRPr="007E063A">
        <w:rPr>
          <w:rFonts w:ascii="Arial" w:hAnsi="Arial" w:cs="Arial"/>
          <w:sz w:val="20"/>
          <w:szCs w:val="20"/>
          <w:lang w:val="en-GB"/>
        </w:rPr>
        <w:t>, we further discuss</w:t>
      </w:r>
      <w:r w:rsidR="0039649B">
        <w:rPr>
          <w:rFonts w:ascii="Arial" w:hAnsi="Arial" w:cs="Arial"/>
          <w:sz w:val="20"/>
          <w:szCs w:val="20"/>
          <w:lang w:val="en-GB"/>
        </w:rPr>
        <w:t xml:space="preserve"> the measurement report for </w:t>
      </w:r>
      <w:r w:rsidR="00036EA5" w:rsidRPr="007E063A">
        <w:rPr>
          <w:rFonts w:ascii="Arial" w:hAnsi="Arial" w:cs="Arial"/>
          <w:sz w:val="20"/>
          <w:szCs w:val="20"/>
          <w:lang w:val="en-GB"/>
        </w:rPr>
        <w:t xml:space="preserve">NR </w:t>
      </w:r>
      <w:r w:rsidR="00842FEA" w:rsidRPr="007E063A">
        <w:rPr>
          <w:rFonts w:ascii="Arial" w:hAnsi="Arial" w:cs="Arial"/>
          <w:sz w:val="20"/>
          <w:szCs w:val="20"/>
          <w:lang w:val="en-GB"/>
        </w:rPr>
        <w:t>CHO</w:t>
      </w:r>
      <w:r w:rsidR="00C856A1" w:rsidRPr="007E063A">
        <w:rPr>
          <w:rFonts w:ascii="Arial" w:hAnsi="Arial" w:cs="Arial"/>
          <w:sz w:val="20"/>
          <w:szCs w:val="20"/>
          <w:lang w:val="en-GB"/>
        </w:rPr>
        <w:t xml:space="preserve"> procedures</w:t>
      </w:r>
      <w:r w:rsidR="0039649B">
        <w:rPr>
          <w:rFonts w:ascii="Arial" w:hAnsi="Arial" w:cs="Arial"/>
          <w:sz w:val="20"/>
          <w:szCs w:val="20"/>
          <w:lang w:val="en-GB"/>
        </w:rPr>
        <w:t xml:space="preserve">. The discussion includes LTE/NR general issues as well as </w:t>
      </w:r>
      <w:r w:rsidR="00B63170" w:rsidRPr="007E063A">
        <w:rPr>
          <w:rFonts w:ascii="Arial" w:hAnsi="Arial" w:cs="Arial"/>
          <w:sz w:val="20"/>
          <w:szCs w:val="20"/>
          <w:lang w:val="en-GB"/>
        </w:rPr>
        <w:t xml:space="preserve">NR-specific issues. </w:t>
      </w:r>
    </w:p>
    <w:p w14:paraId="2F0E3684" w14:textId="785EDAAA" w:rsidR="00AF19D5" w:rsidRPr="007E063A" w:rsidRDefault="00A07E02" w:rsidP="00EF019F">
      <w:pPr>
        <w:pStyle w:val="1"/>
        <w:overflowPunct w:val="0"/>
        <w:autoSpaceDE w:val="0"/>
        <w:autoSpaceDN w:val="0"/>
        <w:adjustRightInd w:val="0"/>
        <w:rPr>
          <w:rFonts w:eastAsia="新細明體" w:cs="Arial"/>
        </w:rPr>
      </w:pPr>
      <w:bookmarkStart w:id="6" w:name="OLE_LINK110"/>
      <w:bookmarkStart w:id="7" w:name="OLE_LINK109"/>
      <w:bookmarkEnd w:id="3"/>
      <w:bookmarkEnd w:id="4"/>
      <w:bookmarkEnd w:id="5"/>
      <w:r w:rsidRPr="007E063A">
        <w:rPr>
          <w:rFonts w:eastAsia="新細明體" w:cs="Arial"/>
        </w:rPr>
        <w:lastRenderedPageBreak/>
        <w:t>Discussion</w:t>
      </w:r>
      <w:bookmarkEnd w:id="6"/>
      <w:bookmarkEnd w:id="7"/>
    </w:p>
    <w:p w14:paraId="7F70C0E6" w14:textId="23A54193" w:rsidR="002E43BF" w:rsidRDefault="002E43BF" w:rsidP="009B3997">
      <w:pPr>
        <w:pStyle w:val="2"/>
      </w:pPr>
      <w:r>
        <w:t>Unnecessary measurement reports</w:t>
      </w:r>
    </w:p>
    <w:p w14:paraId="2FD7D622" w14:textId="04B72D32" w:rsidR="00482FC9" w:rsidRPr="007E063A" w:rsidRDefault="00482FC9" w:rsidP="00482FC9">
      <w:pPr>
        <w:spacing w:before="120" w:after="120"/>
        <w:jc w:val="both"/>
        <w:rPr>
          <w:rFonts w:ascii="Arial" w:hAnsi="Arial" w:cs="Arial"/>
          <w:sz w:val="20"/>
          <w:szCs w:val="20"/>
          <w:lang w:val="en-GB" w:eastAsia="ja-JP"/>
        </w:rPr>
      </w:pPr>
      <w:r w:rsidRPr="007E063A">
        <w:rPr>
          <w:rFonts w:ascii="Arial" w:hAnsi="Arial" w:cs="Arial"/>
          <w:sz w:val="20"/>
          <w:szCs w:val="20"/>
          <w:lang w:val="en-GB" w:eastAsia="ja-JP"/>
        </w:rPr>
        <w:t xml:space="preserve">Measurement events similar to those for normal handover can be defined for UE to report a potential candidate cell. For example, an A3-like </w:t>
      </w:r>
      <w:r w:rsidR="00A367B3">
        <w:rPr>
          <w:rFonts w:ascii="Arial" w:hAnsi="Arial" w:cs="Arial"/>
          <w:sz w:val="20"/>
          <w:szCs w:val="20"/>
          <w:lang w:val="en-GB" w:eastAsia="ja-JP"/>
        </w:rPr>
        <w:t>(“early</w:t>
      </w:r>
      <w:r w:rsidR="0056172E">
        <w:rPr>
          <w:rFonts w:ascii="Arial" w:hAnsi="Arial" w:cs="Arial"/>
          <w:sz w:val="20"/>
          <w:szCs w:val="20"/>
          <w:lang w:val="en-GB" w:eastAsia="ja-JP"/>
        </w:rPr>
        <w:t>”</w:t>
      </w:r>
      <w:r w:rsidR="00A367B3">
        <w:rPr>
          <w:rFonts w:ascii="Arial" w:hAnsi="Arial" w:cs="Arial"/>
          <w:sz w:val="20"/>
          <w:szCs w:val="20"/>
          <w:lang w:val="en-GB" w:eastAsia="ja-JP"/>
        </w:rPr>
        <w:t xml:space="preserve"> A3) </w:t>
      </w:r>
      <w:r w:rsidRPr="007E063A">
        <w:rPr>
          <w:rFonts w:ascii="Arial" w:hAnsi="Arial" w:cs="Arial"/>
          <w:sz w:val="20"/>
          <w:szCs w:val="20"/>
          <w:lang w:val="en-GB" w:eastAsia="ja-JP"/>
        </w:rPr>
        <w:t xml:space="preserve">event can be triggered when a </w:t>
      </w:r>
      <w:r w:rsidR="007A456C" w:rsidRPr="007E063A">
        <w:rPr>
          <w:rFonts w:ascii="Arial" w:hAnsi="Arial" w:cs="Arial"/>
          <w:sz w:val="20"/>
          <w:szCs w:val="20"/>
          <w:lang w:val="en-GB" w:eastAsia="ja-JP"/>
        </w:rPr>
        <w:t>neighbour</w:t>
      </w:r>
      <w:r w:rsidRPr="007E063A">
        <w:rPr>
          <w:rFonts w:ascii="Arial" w:hAnsi="Arial" w:cs="Arial"/>
          <w:sz w:val="20"/>
          <w:szCs w:val="20"/>
          <w:lang w:val="en-GB" w:eastAsia="ja-JP"/>
        </w:rPr>
        <w:t xml:space="preserve"> cell has quality close to serving cell, but with a threshold</w:t>
      </w:r>
      <w:r w:rsidR="00A70D91" w:rsidRPr="007E063A">
        <w:rPr>
          <w:rFonts w:ascii="Arial" w:hAnsi="Arial" w:cs="Arial"/>
          <w:sz w:val="20"/>
          <w:szCs w:val="20"/>
          <w:lang w:val="en-GB" w:eastAsia="ja-JP"/>
        </w:rPr>
        <w:t xml:space="preserve"> (offset)</w:t>
      </w:r>
      <w:r w:rsidRPr="007E063A">
        <w:rPr>
          <w:rFonts w:ascii="Arial" w:hAnsi="Arial" w:cs="Arial"/>
          <w:sz w:val="20"/>
          <w:szCs w:val="20"/>
          <w:lang w:val="en-GB" w:eastAsia="ja-JP"/>
        </w:rPr>
        <w:t xml:space="preserve"> lower than the normal A3 event. Figure 1 </w:t>
      </w:r>
      <w:r w:rsidR="00E23244">
        <w:rPr>
          <w:rFonts w:ascii="Arial" w:hAnsi="Arial" w:cs="Arial"/>
          <w:sz w:val="20"/>
          <w:szCs w:val="20"/>
          <w:lang w:val="en-GB" w:eastAsia="ja-JP"/>
        </w:rPr>
        <w:t>show</w:t>
      </w:r>
      <w:r w:rsidRPr="007E063A">
        <w:rPr>
          <w:rFonts w:ascii="Arial" w:hAnsi="Arial" w:cs="Arial"/>
          <w:sz w:val="20"/>
          <w:szCs w:val="20"/>
          <w:lang w:val="en-GB" w:eastAsia="ja-JP"/>
        </w:rPr>
        <w:t>s a moving UE and its CHO candidates.</w:t>
      </w:r>
    </w:p>
    <w:p w14:paraId="063EA0AF" w14:textId="3018E4CF" w:rsidR="00482FC9" w:rsidRPr="007E063A" w:rsidRDefault="00A77D3F" w:rsidP="00482FC9">
      <w:pPr>
        <w:spacing w:before="120" w:after="120"/>
        <w:jc w:val="both"/>
        <w:rPr>
          <w:lang w:val="en-GB"/>
        </w:rPr>
      </w:pPr>
      <w:r>
        <w:object w:dxaOrig="14631" w:dyaOrig="4497" w14:anchorId="56468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48pt" o:ole="">
            <v:imagedata r:id="rId11" o:title=""/>
          </v:shape>
          <o:OLEObject Type="Embed" ProgID="Visio.Drawing.11" ShapeID="_x0000_i1025" DrawAspect="Content" ObjectID="_1631618379" r:id="rId12"/>
        </w:object>
      </w:r>
    </w:p>
    <w:p w14:paraId="2BA7143F" w14:textId="77777777" w:rsidR="00482FC9" w:rsidRDefault="00482FC9" w:rsidP="00482FC9">
      <w:pPr>
        <w:spacing w:before="120" w:after="120"/>
        <w:jc w:val="center"/>
        <w:rPr>
          <w:rFonts w:ascii="Arial" w:hAnsi="Arial" w:cs="Arial"/>
          <w:b/>
          <w:sz w:val="20"/>
          <w:szCs w:val="20"/>
          <w:lang w:val="en-GB"/>
        </w:rPr>
      </w:pPr>
      <w:r w:rsidRPr="007E063A">
        <w:rPr>
          <w:rFonts w:ascii="Arial" w:hAnsi="Arial" w:cs="Arial"/>
          <w:b/>
          <w:sz w:val="20"/>
          <w:szCs w:val="20"/>
          <w:lang w:val="en-GB"/>
        </w:rPr>
        <w:t>Figure 1. CHO candidate cells for a moving UE</w:t>
      </w:r>
    </w:p>
    <w:p w14:paraId="1D959A53" w14:textId="0A5FFE4F" w:rsidR="00E23244" w:rsidRPr="00E23244" w:rsidRDefault="00E23244" w:rsidP="00E23244">
      <w:pPr>
        <w:spacing w:before="120" w:after="120"/>
        <w:rPr>
          <w:rFonts w:ascii="Arial" w:hAnsi="Arial" w:cs="Arial"/>
          <w:sz w:val="20"/>
          <w:szCs w:val="20"/>
          <w:lang w:val="en-GB"/>
        </w:rPr>
      </w:pPr>
      <w:r w:rsidRPr="00E23244">
        <w:rPr>
          <w:rFonts w:ascii="Arial" w:hAnsi="Arial" w:cs="Arial"/>
          <w:sz w:val="20"/>
          <w:szCs w:val="20"/>
          <w:lang w:val="en-GB"/>
        </w:rPr>
        <w:t>Figure 1 illustrates two situations where some meas</w:t>
      </w:r>
      <w:r>
        <w:rPr>
          <w:rFonts w:ascii="Arial" w:hAnsi="Arial" w:cs="Arial"/>
          <w:sz w:val="20"/>
          <w:szCs w:val="20"/>
          <w:lang w:val="en-GB"/>
        </w:rPr>
        <w:t>urement reports are unnecessary, as explained below.</w:t>
      </w:r>
    </w:p>
    <w:p w14:paraId="7546ED57" w14:textId="4C532CB4" w:rsidR="00482FC9" w:rsidRPr="00D131E5" w:rsidRDefault="000810C9" w:rsidP="00482FC9">
      <w:pPr>
        <w:numPr>
          <w:ilvl w:val="0"/>
          <w:numId w:val="21"/>
        </w:numPr>
        <w:spacing w:before="120" w:after="120" w:line="259" w:lineRule="auto"/>
        <w:jc w:val="both"/>
        <w:rPr>
          <w:rFonts w:ascii="Arial" w:hAnsi="Arial" w:cs="Arial"/>
          <w:sz w:val="20"/>
          <w:szCs w:val="20"/>
          <w:lang w:val="en-GB" w:eastAsia="ja-JP"/>
        </w:rPr>
      </w:pPr>
      <w:r w:rsidRPr="00D131E5">
        <w:rPr>
          <w:rFonts w:ascii="Arial" w:hAnsi="Arial" w:cs="Arial"/>
          <w:sz w:val="20"/>
          <w:szCs w:val="20"/>
          <w:lang w:val="en-GB" w:eastAsia="ja-JP"/>
        </w:rPr>
        <w:t xml:space="preserve">Multiple measurement reports for the same </w:t>
      </w:r>
      <w:r w:rsidR="00482FC9" w:rsidRPr="00D131E5">
        <w:rPr>
          <w:rFonts w:ascii="Arial" w:hAnsi="Arial" w:cs="Arial"/>
          <w:sz w:val="20"/>
          <w:szCs w:val="20"/>
          <w:lang w:val="en-GB" w:eastAsia="ja-JP"/>
        </w:rPr>
        <w:t>candidate cell, as shown in Figure 1(</w:t>
      </w:r>
      <w:r w:rsidR="008D5688">
        <w:rPr>
          <w:rFonts w:ascii="Arial" w:hAnsi="Arial" w:cs="Arial"/>
          <w:sz w:val="20"/>
          <w:szCs w:val="20"/>
          <w:lang w:val="en-GB" w:eastAsia="ja-JP"/>
        </w:rPr>
        <w:t>a</w:t>
      </w:r>
      <w:r w:rsidR="00482FC9" w:rsidRPr="00D131E5">
        <w:rPr>
          <w:rFonts w:ascii="Arial" w:hAnsi="Arial" w:cs="Arial"/>
          <w:sz w:val="20"/>
          <w:szCs w:val="20"/>
          <w:lang w:val="en-GB" w:eastAsia="ja-JP"/>
        </w:rPr>
        <w:t>):</w:t>
      </w:r>
    </w:p>
    <w:p w14:paraId="3D0C1B17" w14:textId="02011A24" w:rsidR="00482FC9" w:rsidRPr="007E063A" w:rsidRDefault="00482FC9" w:rsidP="00482FC9">
      <w:pPr>
        <w:numPr>
          <w:ilvl w:val="1"/>
          <w:numId w:val="21"/>
        </w:numPr>
        <w:spacing w:before="120" w:after="120" w:line="259" w:lineRule="auto"/>
        <w:jc w:val="both"/>
        <w:rPr>
          <w:rFonts w:ascii="Arial" w:hAnsi="Arial" w:cs="Arial"/>
          <w:sz w:val="20"/>
          <w:szCs w:val="20"/>
          <w:lang w:val="en-GB" w:eastAsia="ja-JP"/>
        </w:rPr>
      </w:pPr>
      <w:r w:rsidRPr="007E063A">
        <w:rPr>
          <w:rFonts w:ascii="Arial" w:hAnsi="Arial" w:cs="Arial"/>
          <w:sz w:val="20"/>
          <w:szCs w:val="20"/>
          <w:lang w:val="en-GB" w:eastAsia="ja-JP"/>
        </w:rPr>
        <w:t xml:space="preserve">At t1, UE is served by gNB1. At t2, UE detects gNB2 and gNB2 is configured as CHO candidate. At t3, gNB3 is configured as CHO candidate and gNB2 is de-configured </w:t>
      </w:r>
      <w:r w:rsidR="00004CEB">
        <w:rPr>
          <w:rFonts w:ascii="Arial" w:hAnsi="Arial" w:cs="Arial"/>
          <w:sz w:val="20"/>
          <w:szCs w:val="20"/>
          <w:lang w:val="en-GB" w:eastAsia="ja-JP"/>
        </w:rPr>
        <w:t xml:space="preserve">by network </w:t>
      </w:r>
      <w:r w:rsidRPr="007E063A">
        <w:rPr>
          <w:rFonts w:ascii="Arial" w:hAnsi="Arial" w:cs="Arial"/>
          <w:sz w:val="20"/>
          <w:szCs w:val="20"/>
          <w:lang w:val="en-GB" w:eastAsia="ja-JP"/>
        </w:rPr>
        <w:t xml:space="preserve">due to temporal blockage by a building. At t4, UE moves to another side of the building, </w:t>
      </w:r>
      <w:r w:rsidR="00004CEB">
        <w:rPr>
          <w:rFonts w:ascii="Arial" w:hAnsi="Arial" w:cs="Arial"/>
          <w:sz w:val="20"/>
          <w:szCs w:val="20"/>
          <w:lang w:val="en-GB" w:eastAsia="ja-JP"/>
        </w:rPr>
        <w:t xml:space="preserve">another measurement report is sent for gNB2, </w:t>
      </w:r>
      <w:r w:rsidRPr="007E063A">
        <w:rPr>
          <w:rFonts w:ascii="Arial" w:hAnsi="Arial" w:cs="Arial"/>
          <w:sz w:val="20"/>
          <w:szCs w:val="20"/>
          <w:lang w:val="en-GB" w:eastAsia="ja-JP"/>
        </w:rPr>
        <w:t xml:space="preserve">and </w:t>
      </w:r>
      <w:r w:rsidR="00004CEB">
        <w:rPr>
          <w:rFonts w:ascii="Arial" w:hAnsi="Arial" w:cs="Arial"/>
          <w:sz w:val="20"/>
          <w:szCs w:val="20"/>
          <w:lang w:val="en-GB" w:eastAsia="ja-JP"/>
        </w:rPr>
        <w:t xml:space="preserve">then UE </w:t>
      </w:r>
      <w:r w:rsidRPr="007E063A">
        <w:rPr>
          <w:rFonts w:ascii="Arial" w:hAnsi="Arial" w:cs="Arial"/>
          <w:sz w:val="20"/>
          <w:szCs w:val="20"/>
          <w:lang w:val="en-GB" w:eastAsia="ja-JP"/>
        </w:rPr>
        <w:t>execute</w:t>
      </w:r>
      <w:r w:rsidRPr="007E063A">
        <w:rPr>
          <w:rFonts w:ascii="Arial" w:hAnsi="Arial" w:cs="Arial"/>
          <w:i/>
          <w:sz w:val="20"/>
          <w:szCs w:val="20"/>
          <w:lang w:val="en-GB" w:eastAsia="ja-JP"/>
        </w:rPr>
        <w:t>s normal</w:t>
      </w:r>
      <w:r w:rsidRPr="007E063A">
        <w:rPr>
          <w:rFonts w:ascii="Arial" w:hAnsi="Arial" w:cs="Arial"/>
          <w:sz w:val="20"/>
          <w:szCs w:val="20"/>
          <w:lang w:val="en-GB" w:eastAsia="ja-JP"/>
        </w:rPr>
        <w:t xml:space="preserve"> handover to gNB</w:t>
      </w:r>
      <w:r w:rsidR="007A0F08" w:rsidRPr="007E063A">
        <w:rPr>
          <w:rFonts w:ascii="Arial" w:hAnsi="Arial" w:cs="Arial"/>
          <w:sz w:val="20"/>
          <w:szCs w:val="20"/>
          <w:lang w:val="en-GB" w:eastAsia="ja-JP"/>
        </w:rPr>
        <w:t>2</w:t>
      </w:r>
      <w:r w:rsidRPr="007E063A">
        <w:rPr>
          <w:rFonts w:ascii="Arial" w:hAnsi="Arial" w:cs="Arial"/>
          <w:sz w:val="20"/>
          <w:szCs w:val="20"/>
          <w:lang w:val="en-GB" w:eastAsia="ja-JP"/>
        </w:rPr>
        <w:t>; CHO is not possible since gNB</w:t>
      </w:r>
      <w:r w:rsidR="000A5834" w:rsidRPr="007E063A">
        <w:rPr>
          <w:rFonts w:ascii="Arial" w:hAnsi="Arial" w:cs="Arial"/>
          <w:sz w:val="20"/>
          <w:szCs w:val="20"/>
          <w:lang w:val="en-GB" w:eastAsia="ja-JP"/>
        </w:rPr>
        <w:t>2</w:t>
      </w:r>
      <w:r w:rsidRPr="007E063A">
        <w:rPr>
          <w:rFonts w:ascii="Arial" w:hAnsi="Arial" w:cs="Arial"/>
          <w:sz w:val="20"/>
          <w:szCs w:val="20"/>
          <w:lang w:val="en-GB" w:eastAsia="ja-JP"/>
        </w:rPr>
        <w:t xml:space="preserve"> has been de-configured as CHO candidate cell.</w:t>
      </w:r>
    </w:p>
    <w:p w14:paraId="0B3DF311" w14:textId="5F3D90E7" w:rsidR="00004CEB" w:rsidRDefault="00004CEB" w:rsidP="00482FC9">
      <w:pPr>
        <w:numPr>
          <w:ilvl w:val="1"/>
          <w:numId w:val="21"/>
        </w:numPr>
        <w:spacing w:before="120" w:after="120" w:line="259" w:lineRule="auto"/>
        <w:jc w:val="both"/>
        <w:rPr>
          <w:rFonts w:ascii="Arial" w:hAnsi="Arial" w:cs="Arial"/>
          <w:sz w:val="20"/>
          <w:szCs w:val="20"/>
          <w:lang w:val="en-GB" w:eastAsia="ja-JP"/>
        </w:rPr>
      </w:pPr>
      <w:r>
        <w:rPr>
          <w:rFonts w:ascii="Arial" w:hAnsi="Arial" w:cs="Arial"/>
          <w:sz w:val="20"/>
          <w:szCs w:val="20"/>
          <w:lang w:val="en-GB" w:eastAsia="ja-JP"/>
        </w:rPr>
        <w:t>Alternatively, at t3 the network may choose not to de-configure</w:t>
      </w:r>
      <w:r w:rsidR="00472411">
        <w:rPr>
          <w:rFonts w:ascii="Arial" w:hAnsi="Arial" w:cs="Arial"/>
          <w:sz w:val="20"/>
          <w:szCs w:val="20"/>
          <w:lang w:val="en-GB" w:eastAsia="ja-JP"/>
        </w:rPr>
        <w:t xml:space="preserve"> gNB2. Since gNB2 has sati</w:t>
      </w:r>
      <w:r w:rsidR="00992E32">
        <w:rPr>
          <w:rFonts w:ascii="Arial" w:hAnsi="Arial" w:cs="Arial"/>
          <w:sz w:val="20"/>
          <w:szCs w:val="20"/>
          <w:lang w:val="en-GB" w:eastAsia="ja-JP"/>
        </w:rPr>
        <w:t>sfy the leaving condition (</w:t>
      </w:r>
      <w:r w:rsidR="00472411">
        <w:rPr>
          <w:rFonts w:ascii="Arial" w:hAnsi="Arial" w:cs="Arial"/>
          <w:sz w:val="20"/>
          <w:szCs w:val="20"/>
          <w:lang w:val="en-GB" w:eastAsia="ja-JP"/>
        </w:rPr>
        <w:t>o</w:t>
      </w:r>
      <w:r w:rsidR="00A16C5C">
        <w:rPr>
          <w:rFonts w:ascii="Arial" w:hAnsi="Arial" w:cs="Arial"/>
          <w:sz w:val="20"/>
          <w:szCs w:val="20"/>
          <w:lang w:val="en-GB" w:eastAsia="ja-JP"/>
        </w:rPr>
        <w:t xml:space="preserve">f </w:t>
      </w:r>
      <w:r w:rsidR="00992E32">
        <w:rPr>
          <w:rFonts w:ascii="Arial" w:hAnsi="Arial" w:cs="Arial"/>
          <w:sz w:val="20"/>
          <w:szCs w:val="20"/>
          <w:lang w:val="en-GB" w:eastAsia="ja-JP"/>
        </w:rPr>
        <w:t xml:space="preserve">the </w:t>
      </w:r>
      <w:r w:rsidR="00A16C5C">
        <w:rPr>
          <w:rFonts w:ascii="Arial" w:hAnsi="Arial" w:cs="Arial"/>
          <w:sz w:val="20"/>
          <w:szCs w:val="20"/>
          <w:lang w:val="en-GB" w:eastAsia="ja-JP"/>
        </w:rPr>
        <w:t>“</w:t>
      </w:r>
      <w:r w:rsidR="00472411">
        <w:rPr>
          <w:rFonts w:ascii="Arial" w:hAnsi="Arial" w:cs="Arial"/>
          <w:sz w:val="20"/>
          <w:szCs w:val="20"/>
          <w:lang w:val="en-GB" w:eastAsia="ja-JP"/>
        </w:rPr>
        <w:t>early</w:t>
      </w:r>
      <w:r w:rsidR="00A16C5C">
        <w:rPr>
          <w:rFonts w:ascii="Arial" w:hAnsi="Arial" w:cs="Arial"/>
          <w:sz w:val="20"/>
          <w:szCs w:val="20"/>
          <w:lang w:val="en-GB" w:eastAsia="ja-JP"/>
        </w:rPr>
        <w:t>”</w:t>
      </w:r>
      <w:r w:rsidR="00472411">
        <w:rPr>
          <w:rFonts w:ascii="Arial" w:hAnsi="Arial" w:cs="Arial"/>
          <w:sz w:val="20"/>
          <w:szCs w:val="20"/>
          <w:lang w:val="en-GB" w:eastAsia="ja-JP"/>
        </w:rPr>
        <w:t xml:space="preserve"> A3 event),</w:t>
      </w:r>
      <w:r w:rsidR="006777C2">
        <w:rPr>
          <w:rFonts w:ascii="Arial" w:hAnsi="Arial" w:cs="Arial"/>
          <w:sz w:val="20"/>
          <w:szCs w:val="20"/>
          <w:lang w:val="en-GB" w:eastAsia="ja-JP"/>
        </w:rPr>
        <w:t xml:space="preserve"> gNB2 is still removed from the corresponding </w:t>
      </w:r>
      <w:r w:rsidR="006777C2" w:rsidRPr="006777C2">
        <w:rPr>
          <w:rFonts w:ascii="Arial" w:hAnsi="Arial" w:cs="Arial"/>
          <w:i/>
          <w:sz w:val="20"/>
          <w:szCs w:val="20"/>
          <w:lang w:val="en-GB" w:eastAsia="ja-JP"/>
        </w:rPr>
        <w:t>cellsTriggeredList</w:t>
      </w:r>
      <w:r w:rsidR="007F516B">
        <w:rPr>
          <w:rFonts w:ascii="Arial" w:hAnsi="Arial" w:cs="Arial"/>
          <w:i/>
          <w:sz w:val="20"/>
          <w:szCs w:val="20"/>
          <w:lang w:val="en-GB" w:eastAsia="ja-JP"/>
        </w:rPr>
        <w:t xml:space="preserve"> </w:t>
      </w:r>
      <w:r w:rsidR="007F516B">
        <w:rPr>
          <w:rFonts w:ascii="Arial" w:hAnsi="Arial" w:cs="Arial"/>
          <w:sz w:val="20"/>
          <w:szCs w:val="20"/>
          <w:lang w:val="en-GB" w:eastAsia="ja-JP"/>
        </w:rPr>
        <w:t>at t3</w:t>
      </w:r>
      <w:r w:rsidR="006777C2">
        <w:rPr>
          <w:rFonts w:ascii="Arial" w:hAnsi="Arial" w:cs="Arial"/>
          <w:sz w:val="20"/>
          <w:szCs w:val="20"/>
          <w:lang w:val="en-GB" w:eastAsia="ja-JP"/>
        </w:rPr>
        <w:t>. This means that at t4</w:t>
      </w:r>
      <w:r w:rsidR="00BA43CE">
        <w:rPr>
          <w:rFonts w:ascii="Arial" w:hAnsi="Arial" w:cs="Arial"/>
          <w:sz w:val="20"/>
          <w:szCs w:val="20"/>
          <w:lang w:val="en-GB" w:eastAsia="ja-JP"/>
        </w:rPr>
        <w:t>,</w:t>
      </w:r>
      <w:r w:rsidR="00A16C5C">
        <w:rPr>
          <w:rFonts w:ascii="Arial" w:hAnsi="Arial" w:cs="Arial"/>
          <w:sz w:val="20"/>
          <w:szCs w:val="20"/>
          <w:lang w:val="en-GB" w:eastAsia="ja-JP"/>
        </w:rPr>
        <w:t xml:space="preserve"> when the</w:t>
      </w:r>
      <w:r w:rsidR="00BA43CE">
        <w:rPr>
          <w:rFonts w:ascii="Arial" w:hAnsi="Arial" w:cs="Arial"/>
          <w:sz w:val="20"/>
          <w:szCs w:val="20"/>
          <w:lang w:val="en-GB" w:eastAsia="ja-JP"/>
        </w:rPr>
        <w:t xml:space="preserve"> entering condition</w:t>
      </w:r>
      <w:r w:rsidR="00A16C5C">
        <w:rPr>
          <w:rFonts w:ascii="Arial" w:hAnsi="Arial" w:cs="Arial"/>
          <w:sz w:val="20"/>
          <w:szCs w:val="20"/>
          <w:lang w:val="en-GB" w:eastAsia="ja-JP"/>
        </w:rPr>
        <w:t xml:space="preserve"> (of </w:t>
      </w:r>
      <w:r w:rsidR="00992E32">
        <w:rPr>
          <w:rFonts w:ascii="Arial" w:hAnsi="Arial" w:cs="Arial"/>
          <w:sz w:val="20"/>
          <w:szCs w:val="20"/>
          <w:lang w:val="en-GB" w:eastAsia="ja-JP"/>
        </w:rPr>
        <w:t xml:space="preserve">the </w:t>
      </w:r>
      <w:r w:rsidR="00A16C5C">
        <w:rPr>
          <w:rFonts w:ascii="Arial" w:hAnsi="Arial" w:cs="Arial"/>
          <w:sz w:val="20"/>
          <w:szCs w:val="20"/>
          <w:lang w:val="en-GB" w:eastAsia="ja-JP"/>
        </w:rPr>
        <w:t>“early</w:t>
      </w:r>
      <w:r w:rsidR="00B3192C">
        <w:rPr>
          <w:rFonts w:ascii="Arial" w:hAnsi="Arial" w:cs="Arial"/>
          <w:sz w:val="20"/>
          <w:szCs w:val="20"/>
          <w:lang w:val="en-GB" w:eastAsia="ja-JP"/>
        </w:rPr>
        <w:t>”</w:t>
      </w:r>
      <w:r w:rsidR="00A16C5C">
        <w:rPr>
          <w:rFonts w:ascii="Arial" w:hAnsi="Arial" w:cs="Arial"/>
          <w:sz w:val="20"/>
          <w:szCs w:val="20"/>
          <w:lang w:val="en-GB" w:eastAsia="ja-JP"/>
        </w:rPr>
        <w:t xml:space="preserve"> A3 event)</w:t>
      </w:r>
      <w:r w:rsidR="00BA43CE">
        <w:rPr>
          <w:rFonts w:ascii="Arial" w:hAnsi="Arial" w:cs="Arial"/>
          <w:sz w:val="20"/>
          <w:szCs w:val="20"/>
          <w:lang w:val="en-GB" w:eastAsia="ja-JP"/>
        </w:rPr>
        <w:t xml:space="preserve"> is satisfied </w:t>
      </w:r>
      <w:r w:rsidR="006777C2">
        <w:rPr>
          <w:rFonts w:ascii="Arial" w:hAnsi="Arial" w:cs="Arial"/>
          <w:sz w:val="20"/>
          <w:szCs w:val="20"/>
          <w:lang w:val="en-GB" w:eastAsia="ja-JP"/>
        </w:rPr>
        <w:t xml:space="preserve">again, UE </w:t>
      </w:r>
      <w:r w:rsidR="00BA43CE">
        <w:rPr>
          <w:rFonts w:ascii="Arial" w:hAnsi="Arial" w:cs="Arial"/>
          <w:sz w:val="20"/>
          <w:szCs w:val="20"/>
          <w:lang w:val="en-GB" w:eastAsia="ja-JP"/>
        </w:rPr>
        <w:t>will</w:t>
      </w:r>
      <w:r w:rsidR="006777C2">
        <w:rPr>
          <w:rFonts w:ascii="Arial" w:hAnsi="Arial" w:cs="Arial"/>
          <w:sz w:val="20"/>
          <w:szCs w:val="20"/>
          <w:lang w:val="en-GB" w:eastAsia="ja-JP"/>
        </w:rPr>
        <w:t xml:space="preserve"> </w:t>
      </w:r>
      <w:r w:rsidR="00BA43CE">
        <w:rPr>
          <w:rFonts w:ascii="Arial" w:hAnsi="Arial" w:cs="Arial"/>
          <w:sz w:val="20"/>
          <w:szCs w:val="20"/>
          <w:lang w:val="en-GB" w:eastAsia="ja-JP"/>
        </w:rPr>
        <w:t>send</w:t>
      </w:r>
      <w:r w:rsidR="006777C2">
        <w:rPr>
          <w:rFonts w:ascii="Arial" w:hAnsi="Arial" w:cs="Arial"/>
          <w:sz w:val="20"/>
          <w:szCs w:val="20"/>
          <w:lang w:val="en-GB" w:eastAsia="ja-JP"/>
        </w:rPr>
        <w:t xml:space="preserve"> another</w:t>
      </w:r>
      <w:r w:rsidR="00BA43CE">
        <w:rPr>
          <w:rFonts w:ascii="Arial" w:hAnsi="Arial" w:cs="Arial"/>
          <w:sz w:val="20"/>
          <w:szCs w:val="20"/>
          <w:lang w:val="en-GB" w:eastAsia="ja-JP"/>
        </w:rPr>
        <w:t xml:space="preserve"> measurement report for gNB2</w:t>
      </w:r>
      <w:r w:rsidR="00D6367A">
        <w:rPr>
          <w:rFonts w:ascii="Arial" w:hAnsi="Arial" w:cs="Arial"/>
          <w:sz w:val="20"/>
          <w:szCs w:val="20"/>
          <w:lang w:val="en-GB" w:eastAsia="ja-JP"/>
        </w:rPr>
        <w:t>.</w:t>
      </w:r>
      <w:r w:rsidR="00A16C5C">
        <w:rPr>
          <w:rFonts w:ascii="Arial" w:hAnsi="Arial" w:cs="Arial"/>
          <w:sz w:val="20"/>
          <w:szCs w:val="20"/>
          <w:lang w:val="en-GB" w:eastAsia="ja-JP"/>
        </w:rPr>
        <w:t xml:space="preserve"> The UE then executes</w:t>
      </w:r>
      <w:r w:rsidR="00CF6FC1">
        <w:rPr>
          <w:rFonts w:ascii="Arial" w:hAnsi="Arial" w:cs="Arial"/>
          <w:sz w:val="20"/>
          <w:szCs w:val="20"/>
          <w:lang w:val="en-GB" w:eastAsia="ja-JP"/>
        </w:rPr>
        <w:t xml:space="preserve"> CHO to gNB2 since gNB2 is kept </w:t>
      </w:r>
      <w:r w:rsidR="00A16C5C">
        <w:rPr>
          <w:rFonts w:ascii="Arial" w:hAnsi="Arial" w:cs="Arial"/>
          <w:sz w:val="20"/>
          <w:szCs w:val="20"/>
          <w:lang w:val="en-GB" w:eastAsia="ja-JP"/>
        </w:rPr>
        <w:t>in CHO candidate cell list.</w:t>
      </w:r>
    </w:p>
    <w:p w14:paraId="14781E32" w14:textId="61C9D2C8" w:rsidR="00482FC9" w:rsidRPr="007E063A" w:rsidRDefault="00650079" w:rsidP="00650079">
      <w:pPr>
        <w:numPr>
          <w:ilvl w:val="1"/>
          <w:numId w:val="21"/>
        </w:numPr>
        <w:spacing w:before="120" w:after="120" w:line="259" w:lineRule="auto"/>
        <w:jc w:val="both"/>
        <w:rPr>
          <w:rFonts w:ascii="Arial" w:hAnsi="Arial" w:cs="Arial"/>
          <w:sz w:val="20"/>
          <w:szCs w:val="20"/>
          <w:lang w:val="en-GB" w:eastAsia="ja-JP"/>
        </w:rPr>
      </w:pPr>
      <w:r>
        <w:rPr>
          <w:rFonts w:ascii="Arial" w:hAnsi="Arial" w:cs="Arial"/>
          <w:sz w:val="20"/>
          <w:szCs w:val="20"/>
          <w:lang w:val="en-GB" w:eastAsia="ja-JP"/>
        </w:rPr>
        <w:t xml:space="preserve">If candidate gNB2 is not de-configured at t3, the measurement report at t4 can actually be skipped. That is, the UE may add gNB2 back to </w:t>
      </w:r>
      <w:r w:rsidRPr="003F09B4">
        <w:rPr>
          <w:rFonts w:ascii="Arial" w:hAnsi="Arial" w:cs="Arial"/>
          <w:i/>
          <w:sz w:val="20"/>
          <w:szCs w:val="20"/>
          <w:lang w:val="en-GB" w:eastAsia="ja-JP"/>
        </w:rPr>
        <w:t>cellsTriggeredList</w:t>
      </w:r>
      <w:r>
        <w:rPr>
          <w:rFonts w:ascii="Arial" w:hAnsi="Arial" w:cs="Arial"/>
          <w:sz w:val="20"/>
          <w:szCs w:val="20"/>
          <w:lang w:val="en-GB" w:eastAsia="ja-JP"/>
        </w:rPr>
        <w:t xml:space="preserve"> but </w:t>
      </w:r>
      <w:r w:rsidR="007F516B">
        <w:rPr>
          <w:rFonts w:ascii="Arial" w:hAnsi="Arial" w:cs="Arial"/>
          <w:sz w:val="20"/>
          <w:szCs w:val="20"/>
          <w:lang w:val="en-GB" w:eastAsia="ja-JP"/>
        </w:rPr>
        <w:t xml:space="preserve">not initiating a </w:t>
      </w:r>
      <w:r w:rsidR="00CF6FC1">
        <w:rPr>
          <w:rFonts w:ascii="Arial" w:hAnsi="Arial" w:cs="Arial"/>
          <w:sz w:val="20"/>
          <w:szCs w:val="20"/>
          <w:lang w:val="en-GB" w:eastAsia="ja-JP"/>
        </w:rPr>
        <w:t>measurement report.</w:t>
      </w:r>
    </w:p>
    <w:p w14:paraId="5F2B19A9" w14:textId="5CD1B01A" w:rsidR="00482FC9" w:rsidRDefault="00A77D3F" w:rsidP="00482FC9">
      <w:pPr>
        <w:numPr>
          <w:ilvl w:val="1"/>
          <w:numId w:val="21"/>
        </w:numPr>
        <w:spacing w:before="120" w:after="120" w:line="259" w:lineRule="auto"/>
        <w:jc w:val="both"/>
        <w:rPr>
          <w:rFonts w:ascii="Arial" w:hAnsi="Arial" w:cs="Arial"/>
          <w:sz w:val="20"/>
          <w:szCs w:val="20"/>
          <w:lang w:val="en-GB" w:eastAsia="ja-JP"/>
        </w:rPr>
      </w:pPr>
      <w:r>
        <w:rPr>
          <w:rFonts w:ascii="Arial" w:hAnsi="Arial" w:cs="Arial"/>
          <w:sz w:val="20"/>
          <w:szCs w:val="20"/>
          <w:lang w:val="en-GB" w:eastAsia="ja-JP"/>
        </w:rPr>
        <w:t>T</w:t>
      </w:r>
      <w:r w:rsidR="00B3192C">
        <w:rPr>
          <w:rFonts w:ascii="Arial" w:hAnsi="Arial" w:cs="Arial"/>
          <w:sz w:val="20"/>
          <w:szCs w:val="20"/>
          <w:lang w:val="en-GB" w:eastAsia="ja-JP"/>
        </w:rPr>
        <w:t>he situation may also be observed</w:t>
      </w:r>
      <w:r w:rsidR="00482FC9" w:rsidRPr="007E063A">
        <w:rPr>
          <w:rFonts w:ascii="Arial" w:hAnsi="Arial" w:cs="Arial"/>
          <w:sz w:val="20"/>
          <w:szCs w:val="20"/>
          <w:lang w:val="en-GB" w:eastAsia="ja-JP"/>
        </w:rPr>
        <w:t xml:space="preserve"> in FR1, but we expect more frequent occurrence in FR2, where HF signals experience more severe attenuation and blockage.</w:t>
      </w:r>
    </w:p>
    <w:p w14:paraId="5DEA8B5B" w14:textId="46E2D64A" w:rsidR="00A77D3F" w:rsidRPr="008D5688" w:rsidRDefault="00A77D3F" w:rsidP="008D5688">
      <w:pPr>
        <w:pStyle w:val="afb"/>
        <w:numPr>
          <w:ilvl w:val="0"/>
          <w:numId w:val="21"/>
        </w:numPr>
        <w:rPr>
          <w:rFonts w:ascii="Arial" w:eastAsiaTheme="minorEastAsia" w:hAnsi="Arial" w:cs="Arial"/>
        </w:rPr>
      </w:pPr>
      <w:r w:rsidRPr="008D5688">
        <w:rPr>
          <w:rFonts w:ascii="Arial" w:hAnsi="Arial" w:cs="Arial"/>
        </w:rPr>
        <w:t>Measurement reports for inferior candidate cells</w:t>
      </w:r>
      <w:r w:rsidR="008D5688">
        <w:rPr>
          <w:rFonts w:ascii="Arial" w:hAnsi="Arial" w:cs="Arial"/>
        </w:rPr>
        <w:t>,</w:t>
      </w:r>
      <w:r w:rsidR="008D5688" w:rsidRPr="008D5688">
        <w:t xml:space="preserve"> </w:t>
      </w:r>
      <w:r w:rsidR="008D5688" w:rsidRPr="008D5688">
        <w:rPr>
          <w:rFonts w:ascii="Arial" w:eastAsiaTheme="minorEastAsia" w:hAnsi="Arial" w:cs="Arial"/>
        </w:rPr>
        <w:t>as shown in Figure 1(b):</w:t>
      </w:r>
    </w:p>
    <w:p w14:paraId="79C2DB2A" w14:textId="307F6DBC" w:rsidR="00A77D3F" w:rsidRDefault="00A77D3F" w:rsidP="002B0700">
      <w:pPr>
        <w:numPr>
          <w:ilvl w:val="1"/>
          <w:numId w:val="21"/>
        </w:numPr>
        <w:spacing w:before="120" w:after="120" w:line="259" w:lineRule="auto"/>
        <w:jc w:val="both"/>
        <w:rPr>
          <w:rFonts w:ascii="Arial" w:hAnsi="Arial" w:cs="Arial"/>
          <w:sz w:val="20"/>
          <w:szCs w:val="20"/>
          <w:lang w:val="en-GB" w:eastAsia="ja-JP"/>
        </w:rPr>
      </w:pPr>
      <w:r w:rsidRPr="00A77D3F">
        <w:rPr>
          <w:rFonts w:ascii="Arial" w:hAnsi="Arial" w:cs="Arial"/>
          <w:sz w:val="20"/>
          <w:szCs w:val="20"/>
          <w:lang w:val="en-GB" w:eastAsia="ja-JP"/>
        </w:rPr>
        <w:t xml:space="preserve">At t1, UE is served by gNB1. At t2, UE reports gNB2 as gNB2 satisfies the entering condition of the “early” measurement event for CHO, and gNB2 is configured as CHO candidate. </w:t>
      </w:r>
    </w:p>
    <w:p w14:paraId="29933030" w14:textId="25068F24" w:rsidR="00A77D3F" w:rsidRDefault="00DF6E0E" w:rsidP="003F77A0">
      <w:pPr>
        <w:numPr>
          <w:ilvl w:val="1"/>
          <w:numId w:val="21"/>
        </w:numPr>
        <w:spacing w:before="120" w:after="120" w:line="259" w:lineRule="auto"/>
        <w:jc w:val="both"/>
        <w:rPr>
          <w:rFonts w:ascii="Arial" w:hAnsi="Arial" w:cs="Arial"/>
          <w:sz w:val="20"/>
          <w:szCs w:val="20"/>
          <w:lang w:val="en-GB" w:eastAsia="ja-JP"/>
        </w:rPr>
      </w:pPr>
      <w:r w:rsidRPr="00DF6E0E">
        <w:rPr>
          <w:rFonts w:ascii="Arial" w:hAnsi="Arial" w:cs="Arial"/>
          <w:sz w:val="20"/>
          <w:szCs w:val="20"/>
          <w:lang w:val="en-GB" w:eastAsia="ja-JP"/>
        </w:rPr>
        <w:t>At t3, UE reports gNB3 as it satisfies the entering condition of the “early” measurement event for CHO, and gNB3 is also configured as CHO candidate. However, at this point gNB2 is already in the CHO candida</w:t>
      </w:r>
      <w:r w:rsidR="00EA53E4">
        <w:rPr>
          <w:rFonts w:ascii="Arial" w:hAnsi="Arial" w:cs="Arial"/>
          <w:sz w:val="20"/>
          <w:szCs w:val="20"/>
          <w:lang w:val="en-GB" w:eastAsia="ja-JP"/>
        </w:rPr>
        <w:t xml:space="preserve">te list and is better than gNB3, and </w:t>
      </w:r>
      <w:r w:rsidR="00A77D3F" w:rsidRPr="00DF6E0E">
        <w:rPr>
          <w:rFonts w:ascii="Arial" w:hAnsi="Arial" w:cs="Arial"/>
          <w:sz w:val="20"/>
          <w:szCs w:val="20"/>
          <w:lang w:val="en-GB" w:eastAsia="ja-JP"/>
        </w:rPr>
        <w:t xml:space="preserve">the latter is unlikely to be </w:t>
      </w:r>
      <w:r w:rsidR="00EB5619" w:rsidRPr="00DF6E0E">
        <w:rPr>
          <w:rFonts w:ascii="Arial" w:hAnsi="Arial" w:cs="Arial"/>
          <w:sz w:val="20"/>
          <w:szCs w:val="20"/>
          <w:lang w:val="en-GB" w:eastAsia="ja-JP"/>
        </w:rPr>
        <w:t>chosen as target for CHO.</w:t>
      </w:r>
      <w:r w:rsidR="00D64601" w:rsidRPr="00DF6E0E">
        <w:rPr>
          <w:rFonts w:ascii="Arial" w:hAnsi="Arial" w:cs="Arial"/>
          <w:sz w:val="20"/>
          <w:szCs w:val="20"/>
          <w:lang w:val="en-GB" w:eastAsia="ja-JP"/>
        </w:rPr>
        <w:t xml:space="preserve"> </w:t>
      </w:r>
      <w:r w:rsidR="00A77D3F" w:rsidRPr="00DF6E0E">
        <w:rPr>
          <w:rFonts w:ascii="Arial" w:hAnsi="Arial" w:cs="Arial"/>
          <w:sz w:val="20"/>
          <w:szCs w:val="20"/>
          <w:lang w:val="en-GB" w:eastAsia="ja-JP"/>
        </w:rPr>
        <w:t xml:space="preserve">If UE can skip measurement report for gNB3 and network can skip corresponding CHO configurations, we can save </w:t>
      </w:r>
      <w:r w:rsidR="00EB5619" w:rsidRPr="00DF6E0E">
        <w:rPr>
          <w:rFonts w:ascii="Arial" w:hAnsi="Arial" w:cs="Arial"/>
          <w:sz w:val="20"/>
          <w:szCs w:val="20"/>
          <w:lang w:val="en-GB" w:eastAsia="ja-JP"/>
        </w:rPr>
        <w:t>signalling</w:t>
      </w:r>
      <w:r w:rsidR="00A77D3F" w:rsidRPr="00DF6E0E">
        <w:rPr>
          <w:rFonts w:ascii="Arial" w:hAnsi="Arial" w:cs="Arial"/>
          <w:sz w:val="20"/>
          <w:szCs w:val="20"/>
          <w:lang w:val="en-GB" w:eastAsia="ja-JP"/>
        </w:rPr>
        <w:t xml:space="preserve"> overheads without impact on mobility performance.</w:t>
      </w:r>
    </w:p>
    <w:p w14:paraId="23A1958C" w14:textId="08F2E3F2" w:rsidR="00DF6E0E" w:rsidRPr="00DF6E0E" w:rsidRDefault="00DF6E0E" w:rsidP="003F77A0">
      <w:pPr>
        <w:numPr>
          <w:ilvl w:val="1"/>
          <w:numId w:val="21"/>
        </w:numPr>
        <w:spacing w:before="120" w:after="120" w:line="259" w:lineRule="auto"/>
        <w:jc w:val="both"/>
        <w:rPr>
          <w:rFonts w:ascii="Arial" w:hAnsi="Arial" w:cs="Arial"/>
          <w:sz w:val="20"/>
          <w:szCs w:val="20"/>
          <w:lang w:val="en-GB" w:eastAsia="ja-JP"/>
        </w:rPr>
      </w:pPr>
      <w:r w:rsidRPr="00A77D3F">
        <w:rPr>
          <w:rFonts w:ascii="Arial" w:hAnsi="Arial" w:cs="Arial"/>
          <w:sz w:val="20"/>
          <w:szCs w:val="20"/>
          <w:lang w:val="en-GB" w:eastAsia="ja-JP"/>
        </w:rPr>
        <w:t>At t4, UE executes CHO towards gNB2.</w:t>
      </w:r>
    </w:p>
    <w:p w14:paraId="43819980" w14:textId="2901A139" w:rsidR="00A77D3F" w:rsidRPr="007C1E72" w:rsidRDefault="00EB5619" w:rsidP="007C1E72">
      <w:pPr>
        <w:numPr>
          <w:ilvl w:val="1"/>
          <w:numId w:val="21"/>
        </w:numPr>
        <w:spacing w:before="120" w:after="120" w:line="259" w:lineRule="auto"/>
        <w:jc w:val="both"/>
        <w:rPr>
          <w:rFonts w:ascii="Arial" w:hAnsi="Arial" w:cs="Arial"/>
          <w:sz w:val="20"/>
          <w:szCs w:val="20"/>
          <w:lang w:val="en-GB" w:eastAsia="ja-JP"/>
        </w:rPr>
      </w:pPr>
      <w:r>
        <w:rPr>
          <w:rFonts w:ascii="Arial" w:hAnsi="Arial" w:cs="Arial"/>
          <w:sz w:val="20"/>
          <w:szCs w:val="20"/>
          <w:lang w:val="en-GB" w:eastAsia="ja-JP"/>
        </w:rPr>
        <w:t>The situation may also be observed</w:t>
      </w:r>
      <w:r w:rsidRPr="007E063A">
        <w:rPr>
          <w:rFonts w:ascii="Arial" w:hAnsi="Arial" w:cs="Arial"/>
          <w:sz w:val="20"/>
          <w:szCs w:val="20"/>
          <w:lang w:val="en-GB" w:eastAsia="ja-JP"/>
        </w:rPr>
        <w:t xml:space="preserve"> in FR1, but we expect more frequent occurrence in FR2, where </w:t>
      </w:r>
      <w:r>
        <w:rPr>
          <w:rFonts w:ascii="Arial" w:hAnsi="Arial" w:cs="Arial"/>
          <w:sz w:val="20"/>
          <w:szCs w:val="20"/>
          <w:lang w:val="en-GB" w:eastAsia="ja-JP"/>
        </w:rPr>
        <w:t>denser deployment of gNBs is expected</w:t>
      </w:r>
      <w:r w:rsidRPr="007E063A">
        <w:rPr>
          <w:rFonts w:ascii="Arial" w:hAnsi="Arial" w:cs="Arial"/>
          <w:sz w:val="20"/>
          <w:szCs w:val="20"/>
          <w:lang w:val="en-GB" w:eastAsia="ja-JP"/>
        </w:rPr>
        <w:t>.</w:t>
      </w:r>
    </w:p>
    <w:p w14:paraId="13845CC3" w14:textId="73FA886B" w:rsidR="00482FC9" w:rsidRPr="007E063A" w:rsidRDefault="00482FC9" w:rsidP="00482FC9">
      <w:pPr>
        <w:spacing w:before="120" w:after="120" w:line="259" w:lineRule="auto"/>
        <w:ind w:left="1440" w:hanging="1440"/>
        <w:jc w:val="both"/>
        <w:rPr>
          <w:rFonts w:ascii="Arial" w:hAnsi="Arial" w:cs="Arial"/>
          <w:i/>
          <w:sz w:val="20"/>
          <w:szCs w:val="20"/>
          <w:lang w:val="en-GB" w:eastAsia="ja-JP"/>
        </w:rPr>
      </w:pPr>
      <w:r w:rsidRPr="007E063A">
        <w:rPr>
          <w:rFonts w:ascii="Arial" w:hAnsi="Arial" w:cs="Arial"/>
          <w:i/>
          <w:sz w:val="20"/>
          <w:szCs w:val="20"/>
          <w:lang w:val="en-GB"/>
        </w:rPr>
        <w:lastRenderedPageBreak/>
        <w:t>Observation 1:</w:t>
      </w:r>
      <w:r w:rsidRPr="007E063A">
        <w:rPr>
          <w:rFonts w:ascii="Arial" w:hAnsi="Arial" w:cs="Arial"/>
          <w:i/>
          <w:sz w:val="20"/>
          <w:szCs w:val="20"/>
          <w:lang w:val="en-GB"/>
        </w:rPr>
        <w:tab/>
        <w:t xml:space="preserve">When operating in HF, a UE configured with CHO may face the following </w:t>
      </w:r>
      <w:r w:rsidR="0033151A">
        <w:rPr>
          <w:rFonts w:ascii="Arial" w:hAnsi="Arial" w:cs="Arial"/>
          <w:i/>
          <w:sz w:val="20"/>
          <w:szCs w:val="20"/>
          <w:lang w:val="en-GB"/>
        </w:rPr>
        <w:t>situations more frequently: (</w:t>
      </w:r>
      <w:r w:rsidR="0033151A">
        <w:rPr>
          <w:rFonts w:ascii="Arial" w:hAnsi="Arial" w:cs="Arial"/>
          <w:i/>
          <w:sz w:val="20"/>
          <w:szCs w:val="20"/>
          <w:lang w:val="en-GB" w:eastAsia="ja-JP"/>
        </w:rPr>
        <w:t>1</w:t>
      </w:r>
      <w:r w:rsidRPr="007E063A">
        <w:rPr>
          <w:rFonts w:ascii="Arial" w:hAnsi="Arial" w:cs="Arial"/>
          <w:i/>
          <w:sz w:val="20"/>
          <w:szCs w:val="20"/>
          <w:lang w:val="en-GB" w:eastAsia="ja-JP"/>
        </w:rPr>
        <w:t xml:space="preserve">) </w:t>
      </w:r>
      <w:r w:rsidR="00A16C5C">
        <w:rPr>
          <w:rFonts w:ascii="Arial" w:hAnsi="Arial" w:cs="Arial"/>
          <w:i/>
          <w:sz w:val="20"/>
          <w:szCs w:val="20"/>
          <w:lang w:val="en-GB" w:eastAsia="ja-JP"/>
        </w:rPr>
        <w:t xml:space="preserve">multiple measurement reports sent for the same </w:t>
      </w:r>
      <w:r w:rsidR="00732490">
        <w:rPr>
          <w:rFonts w:ascii="Arial" w:hAnsi="Arial" w:cs="Arial"/>
          <w:i/>
          <w:sz w:val="20"/>
          <w:szCs w:val="20"/>
          <w:lang w:val="en-GB" w:eastAsia="ja-JP"/>
        </w:rPr>
        <w:t xml:space="preserve">candidate </w:t>
      </w:r>
      <w:r w:rsidR="00A16C5C">
        <w:rPr>
          <w:rFonts w:ascii="Arial" w:hAnsi="Arial" w:cs="Arial"/>
          <w:i/>
          <w:sz w:val="20"/>
          <w:szCs w:val="20"/>
          <w:lang w:val="en-GB" w:eastAsia="ja-JP"/>
        </w:rPr>
        <w:t>cell</w:t>
      </w:r>
      <w:r w:rsidR="0033151A">
        <w:rPr>
          <w:rFonts w:ascii="Arial" w:hAnsi="Arial" w:cs="Arial"/>
          <w:i/>
          <w:sz w:val="20"/>
          <w:szCs w:val="20"/>
          <w:lang w:val="en-GB" w:eastAsia="ja-JP"/>
        </w:rPr>
        <w:t>, and (2)</w:t>
      </w:r>
      <w:r w:rsidR="0033151A" w:rsidRPr="0033151A">
        <w:rPr>
          <w:rFonts w:hint="eastAsia"/>
        </w:rPr>
        <w:t xml:space="preserve"> </w:t>
      </w:r>
      <w:r w:rsidR="0033151A">
        <w:rPr>
          <w:rFonts w:ascii="Arial" w:hAnsi="Arial" w:cs="Arial"/>
          <w:i/>
          <w:sz w:val="20"/>
          <w:szCs w:val="20"/>
          <w:lang w:val="en-GB" w:eastAsia="ja-JP"/>
        </w:rPr>
        <w:t>m</w:t>
      </w:r>
      <w:r w:rsidR="0033151A" w:rsidRPr="0033151A">
        <w:rPr>
          <w:rFonts w:ascii="Arial" w:hAnsi="Arial" w:cs="Arial"/>
          <w:i/>
          <w:sz w:val="20"/>
          <w:szCs w:val="20"/>
          <w:lang w:val="en-GB" w:eastAsia="ja-JP"/>
        </w:rPr>
        <w:t>easurement reports for inferior candidate cells</w:t>
      </w:r>
      <w:r w:rsidR="000E2C27">
        <w:rPr>
          <w:rFonts w:ascii="Arial" w:hAnsi="Arial" w:cs="Arial"/>
          <w:i/>
          <w:sz w:val="20"/>
          <w:szCs w:val="20"/>
          <w:lang w:val="en-GB" w:eastAsia="ja-JP"/>
        </w:rPr>
        <w:t>.</w:t>
      </w:r>
    </w:p>
    <w:p w14:paraId="22D20724" w14:textId="7EE34116" w:rsidR="003E3398" w:rsidRPr="007E063A" w:rsidRDefault="003E3398" w:rsidP="003D6174">
      <w:pPr>
        <w:spacing w:after="120"/>
        <w:jc w:val="both"/>
        <w:rPr>
          <w:rFonts w:ascii="Arial" w:hAnsi="Arial" w:cs="Arial"/>
          <w:sz w:val="20"/>
          <w:szCs w:val="20"/>
          <w:lang w:val="en-GB" w:eastAsia="ja-JP"/>
        </w:rPr>
      </w:pPr>
      <w:r>
        <w:rPr>
          <w:rFonts w:ascii="Arial" w:hAnsi="Arial" w:cs="Arial"/>
          <w:sz w:val="20"/>
          <w:szCs w:val="20"/>
          <w:lang w:val="en-GB" w:eastAsia="ja-JP"/>
        </w:rPr>
        <w:t>To reduce signalling overhead</w:t>
      </w:r>
      <w:r w:rsidR="00A641AF">
        <w:rPr>
          <w:rFonts w:ascii="Arial" w:hAnsi="Arial" w:cs="Arial"/>
          <w:sz w:val="20"/>
          <w:szCs w:val="20"/>
          <w:lang w:val="en-GB" w:eastAsia="ja-JP"/>
        </w:rPr>
        <w:t xml:space="preserve"> due to multiple measurement reports for the same cell, if a </w:t>
      </w:r>
      <w:r>
        <w:rPr>
          <w:rFonts w:ascii="Arial" w:hAnsi="Arial" w:cs="Arial"/>
          <w:sz w:val="20"/>
          <w:szCs w:val="20"/>
          <w:lang w:val="en-GB" w:eastAsia="ja-JP"/>
        </w:rPr>
        <w:t xml:space="preserve">cell </w:t>
      </w:r>
      <w:r w:rsidR="00A641AF">
        <w:rPr>
          <w:rFonts w:ascii="Arial" w:hAnsi="Arial" w:cs="Arial"/>
          <w:sz w:val="20"/>
          <w:szCs w:val="20"/>
          <w:lang w:val="en-GB" w:eastAsia="ja-JP"/>
        </w:rPr>
        <w:t xml:space="preserve">satisfying event entering condition is not in </w:t>
      </w:r>
      <w:r w:rsidR="00A641AF" w:rsidRPr="00A641AF">
        <w:rPr>
          <w:rFonts w:ascii="Arial" w:hAnsi="Arial" w:cs="Arial"/>
          <w:i/>
          <w:sz w:val="20"/>
          <w:szCs w:val="20"/>
          <w:lang w:val="en-GB" w:eastAsia="ja-JP"/>
        </w:rPr>
        <w:t>cellsTriggeredList</w:t>
      </w:r>
      <w:r w:rsidR="00A641AF">
        <w:rPr>
          <w:rFonts w:ascii="Arial" w:hAnsi="Arial" w:cs="Arial"/>
          <w:sz w:val="20"/>
          <w:szCs w:val="20"/>
          <w:lang w:val="en-GB" w:eastAsia="ja-JP"/>
        </w:rPr>
        <w:t xml:space="preserve"> but </w:t>
      </w:r>
      <w:r>
        <w:rPr>
          <w:rFonts w:ascii="Arial" w:hAnsi="Arial" w:cs="Arial"/>
          <w:sz w:val="20"/>
          <w:szCs w:val="20"/>
          <w:lang w:val="en-GB" w:eastAsia="ja-JP"/>
        </w:rPr>
        <w:t>is</w:t>
      </w:r>
      <w:r w:rsidR="00A641AF">
        <w:rPr>
          <w:rFonts w:ascii="Arial" w:hAnsi="Arial" w:cs="Arial"/>
          <w:sz w:val="20"/>
          <w:szCs w:val="20"/>
          <w:lang w:val="en-GB" w:eastAsia="ja-JP"/>
        </w:rPr>
        <w:t xml:space="preserve"> already</w:t>
      </w:r>
      <w:r>
        <w:rPr>
          <w:rFonts w:ascii="Arial" w:hAnsi="Arial" w:cs="Arial"/>
          <w:sz w:val="20"/>
          <w:szCs w:val="20"/>
          <w:lang w:val="en-GB" w:eastAsia="ja-JP"/>
        </w:rPr>
        <w:t xml:space="preserve"> in</w:t>
      </w:r>
      <w:r w:rsidR="00A641AF">
        <w:rPr>
          <w:rFonts w:ascii="Arial" w:hAnsi="Arial" w:cs="Arial"/>
          <w:sz w:val="20"/>
          <w:szCs w:val="20"/>
          <w:lang w:val="en-GB" w:eastAsia="ja-JP"/>
        </w:rPr>
        <w:t xml:space="preserve"> C</w:t>
      </w:r>
      <w:r w:rsidR="007267CB">
        <w:rPr>
          <w:rFonts w:ascii="Arial" w:hAnsi="Arial" w:cs="Arial"/>
          <w:sz w:val="20"/>
          <w:szCs w:val="20"/>
          <w:lang w:val="en-GB" w:eastAsia="ja-JP"/>
        </w:rPr>
        <w:t xml:space="preserve">HO candidate list, the UE may not </w:t>
      </w:r>
      <w:r>
        <w:rPr>
          <w:rFonts w:ascii="Arial" w:hAnsi="Arial" w:cs="Arial"/>
          <w:sz w:val="20"/>
          <w:szCs w:val="20"/>
          <w:lang w:val="en-GB" w:eastAsia="ja-JP"/>
        </w:rPr>
        <w:t xml:space="preserve">add the cell back to </w:t>
      </w:r>
      <w:r w:rsidR="006851F5" w:rsidRPr="00A641AF">
        <w:rPr>
          <w:rFonts w:ascii="Arial" w:hAnsi="Arial" w:cs="Arial"/>
          <w:i/>
          <w:sz w:val="20"/>
          <w:szCs w:val="20"/>
          <w:lang w:val="en-GB" w:eastAsia="ja-JP"/>
        </w:rPr>
        <w:t>cellsTriggeredList</w:t>
      </w:r>
      <w:r w:rsidR="00A641AF">
        <w:rPr>
          <w:rFonts w:ascii="Arial" w:hAnsi="Arial" w:cs="Arial"/>
          <w:sz w:val="20"/>
          <w:szCs w:val="20"/>
          <w:lang w:val="en-GB" w:eastAsia="ja-JP"/>
        </w:rPr>
        <w:t xml:space="preserve"> but not initiate</w:t>
      </w:r>
      <w:r w:rsidR="006851F5">
        <w:rPr>
          <w:rFonts w:ascii="Arial" w:hAnsi="Arial" w:cs="Arial"/>
          <w:sz w:val="20"/>
          <w:szCs w:val="20"/>
          <w:lang w:val="en-GB" w:eastAsia="ja-JP"/>
        </w:rPr>
        <w:t xml:space="preserve"> measurement report.</w:t>
      </w:r>
      <w:r w:rsidR="007267CB">
        <w:rPr>
          <w:rFonts w:ascii="Arial" w:hAnsi="Arial" w:cs="Arial"/>
          <w:sz w:val="20"/>
          <w:szCs w:val="20"/>
          <w:lang w:val="en-GB" w:eastAsia="ja-JP"/>
        </w:rPr>
        <w:t xml:space="preserve"> This can be achieved by introducing an</w:t>
      </w:r>
      <w:r w:rsidR="007267CB" w:rsidRPr="007267CB">
        <w:t xml:space="preserve"> </w:t>
      </w:r>
      <w:r w:rsidR="007267CB" w:rsidRPr="007267CB">
        <w:rPr>
          <w:rFonts w:ascii="Arial" w:hAnsi="Arial" w:cs="Arial"/>
          <w:sz w:val="20"/>
          <w:szCs w:val="20"/>
          <w:lang w:val="en-GB" w:eastAsia="ja-JP"/>
        </w:rPr>
        <w:t>“event for CHO” indicator in mea</w:t>
      </w:r>
      <w:r w:rsidR="007267CB">
        <w:rPr>
          <w:rFonts w:ascii="Arial" w:hAnsi="Arial" w:cs="Arial"/>
          <w:sz w:val="20"/>
          <w:szCs w:val="20"/>
          <w:lang w:val="en-GB" w:eastAsia="ja-JP"/>
        </w:rPr>
        <w:t>surement report configuration. I</w:t>
      </w:r>
      <w:r w:rsidR="007267CB" w:rsidRPr="007267CB">
        <w:rPr>
          <w:rFonts w:ascii="Arial" w:hAnsi="Arial" w:cs="Arial"/>
          <w:sz w:val="20"/>
          <w:szCs w:val="20"/>
          <w:lang w:val="en-GB" w:eastAsia="ja-JP"/>
        </w:rPr>
        <w:t xml:space="preserve">f </w:t>
      </w:r>
      <w:r w:rsidR="007267CB">
        <w:rPr>
          <w:rFonts w:ascii="Arial" w:hAnsi="Arial" w:cs="Arial"/>
          <w:sz w:val="20"/>
          <w:szCs w:val="20"/>
          <w:lang w:val="en-GB" w:eastAsia="ja-JP"/>
        </w:rPr>
        <w:t xml:space="preserve">the indicator is </w:t>
      </w:r>
      <w:r w:rsidR="007267CB" w:rsidRPr="007267CB">
        <w:rPr>
          <w:rFonts w:ascii="Arial" w:hAnsi="Arial" w:cs="Arial"/>
          <w:sz w:val="20"/>
          <w:szCs w:val="20"/>
          <w:lang w:val="en-GB" w:eastAsia="ja-JP"/>
        </w:rPr>
        <w:t>set, an event-triggered measurement report is initiated only if the triggering cell is not included in the CHO candidate list.</w:t>
      </w:r>
    </w:p>
    <w:p w14:paraId="023E5663" w14:textId="306C8902" w:rsidR="00E804A9" w:rsidRDefault="005B0729" w:rsidP="00314BB4">
      <w:pPr>
        <w:spacing w:after="120"/>
        <w:ind w:left="1440" w:hanging="1440"/>
        <w:jc w:val="both"/>
        <w:rPr>
          <w:rFonts w:ascii="Arial" w:hAnsi="Arial" w:cs="Arial"/>
          <w:b/>
          <w:sz w:val="20"/>
          <w:szCs w:val="20"/>
          <w:lang w:val="en-GB" w:eastAsia="ja-JP"/>
        </w:rPr>
      </w:pPr>
      <w:r w:rsidRPr="007E063A">
        <w:rPr>
          <w:rFonts w:ascii="Arial" w:hAnsi="Arial" w:cs="Arial"/>
          <w:b/>
          <w:sz w:val="20"/>
          <w:szCs w:val="20"/>
          <w:lang w:val="en-GB" w:eastAsia="ja-JP"/>
        </w:rPr>
        <w:t xml:space="preserve">Proposal </w:t>
      </w:r>
      <w:r w:rsidR="00D64601">
        <w:rPr>
          <w:rFonts w:ascii="Arial" w:hAnsi="Arial" w:cs="Arial"/>
          <w:b/>
          <w:sz w:val="20"/>
          <w:szCs w:val="20"/>
          <w:lang w:val="en-GB" w:eastAsia="ja-JP"/>
        </w:rPr>
        <w:t>1</w:t>
      </w:r>
      <w:r w:rsidRPr="007E063A">
        <w:rPr>
          <w:rFonts w:ascii="Arial" w:hAnsi="Arial" w:cs="Arial"/>
          <w:b/>
          <w:sz w:val="20"/>
          <w:szCs w:val="20"/>
          <w:lang w:val="en-GB" w:eastAsia="ja-JP"/>
        </w:rPr>
        <w:t>:</w:t>
      </w:r>
      <w:r w:rsidRPr="007E063A">
        <w:rPr>
          <w:rFonts w:ascii="Arial" w:hAnsi="Arial" w:cs="Arial"/>
          <w:b/>
          <w:sz w:val="20"/>
          <w:szCs w:val="20"/>
          <w:lang w:val="en-GB" w:eastAsia="ja-JP"/>
        </w:rPr>
        <w:tab/>
      </w:r>
      <w:r w:rsidR="00D131E5">
        <w:rPr>
          <w:rFonts w:ascii="Arial" w:hAnsi="Arial" w:cs="Arial"/>
          <w:b/>
          <w:sz w:val="20"/>
          <w:szCs w:val="20"/>
          <w:lang w:val="en-GB" w:eastAsia="ja-JP"/>
        </w:rPr>
        <w:t>Introduce a</w:t>
      </w:r>
      <w:r w:rsidR="002E43BF">
        <w:rPr>
          <w:rFonts w:ascii="Arial" w:hAnsi="Arial" w:cs="Arial"/>
          <w:b/>
          <w:sz w:val="20"/>
          <w:szCs w:val="20"/>
          <w:lang w:val="en-GB" w:eastAsia="ja-JP"/>
        </w:rPr>
        <w:t>n</w:t>
      </w:r>
      <w:r w:rsidR="006851F5">
        <w:rPr>
          <w:rFonts w:ascii="Arial" w:hAnsi="Arial" w:cs="Arial"/>
          <w:b/>
          <w:sz w:val="20"/>
          <w:szCs w:val="20"/>
          <w:lang w:val="en-GB" w:eastAsia="ja-JP"/>
        </w:rPr>
        <w:t xml:space="preserve"> </w:t>
      </w:r>
      <w:r w:rsidR="00D131E5">
        <w:rPr>
          <w:rFonts w:ascii="Arial" w:hAnsi="Arial" w:cs="Arial"/>
          <w:b/>
          <w:sz w:val="20"/>
          <w:szCs w:val="20"/>
          <w:lang w:val="en-GB" w:eastAsia="ja-JP"/>
        </w:rPr>
        <w:t>“</w:t>
      </w:r>
      <w:r w:rsidR="002E43BF">
        <w:rPr>
          <w:rFonts w:ascii="Arial" w:hAnsi="Arial" w:cs="Arial"/>
          <w:b/>
          <w:sz w:val="20"/>
          <w:szCs w:val="20"/>
          <w:lang w:val="en-GB" w:eastAsia="ja-JP"/>
        </w:rPr>
        <w:t xml:space="preserve">event for </w:t>
      </w:r>
      <w:r w:rsidR="00D131E5">
        <w:rPr>
          <w:rFonts w:ascii="Arial" w:hAnsi="Arial" w:cs="Arial"/>
          <w:b/>
          <w:sz w:val="20"/>
          <w:szCs w:val="20"/>
          <w:lang w:val="en-GB" w:eastAsia="ja-JP"/>
        </w:rPr>
        <w:t>CHO</w:t>
      </w:r>
      <w:r w:rsidR="002E43BF">
        <w:rPr>
          <w:rFonts w:ascii="Arial" w:hAnsi="Arial" w:cs="Arial"/>
          <w:b/>
          <w:sz w:val="20"/>
          <w:szCs w:val="20"/>
          <w:lang w:val="en-GB" w:eastAsia="ja-JP"/>
        </w:rPr>
        <w:t>”</w:t>
      </w:r>
      <w:r w:rsidR="00D131E5">
        <w:rPr>
          <w:rFonts w:ascii="Arial" w:hAnsi="Arial" w:cs="Arial"/>
          <w:b/>
          <w:sz w:val="20"/>
          <w:szCs w:val="20"/>
          <w:lang w:val="en-GB" w:eastAsia="ja-JP"/>
        </w:rPr>
        <w:t xml:space="preserve"> </w:t>
      </w:r>
      <w:r w:rsidR="006851F5">
        <w:rPr>
          <w:rFonts w:ascii="Arial" w:hAnsi="Arial" w:cs="Arial"/>
          <w:b/>
          <w:sz w:val="20"/>
          <w:szCs w:val="20"/>
          <w:lang w:val="en-GB" w:eastAsia="ja-JP"/>
        </w:rPr>
        <w:t xml:space="preserve">indicator in </w:t>
      </w:r>
      <w:r w:rsidR="00E15CE9">
        <w:rPr>
          <w:rFonts w:ascii="Arial" w:hAnsi="Arial" w:cs="Arial"/>
          <w:b/>
          <w:sz w:val="20"/>
          <w:szCs w:val="20"/>
          <w:lang w:val="en-GB" w:eastAsia="ja-JP"/>
        </w:rPr>
        <w:t xml:space="preserve">measurement </w:t>
      </w:r>
      <w:r w:rsidR="006851F5">
        <w:rPr>
          <w:rFonts w:ascii="Arial" w:hAnsi="Arial" w:cs="Arial"/>
          <w:b/>
          <w:sz w:val="20"/>
          <w:szCs w:val="20"/>
          <w:lang w:val="en-GB" w:eastAsia="ja-JP"/>
        </w:rPr>
        <w:t>r</w:t>
      </w:r>
      <w:r w:rsidR="008D599A">
        <w:rPr>
          <w:rFonts w:ascii="Arial" w:hAnsi="Arial" w:cs="Arial"/>
          <w:b/>
          <w:sz w:val="20"/>
          <w:szCs w:val="20"/>
          <w:lang w:val="en-GB" w:eastAsia="ja-JP"/>
        </w:rPr>
        <w:t>eport configuration, i</w:t>
      </w:r>
      <w:r w:rsidR="006851F5">
        <w:rPr>
          <w:rFonts w:ascii="Arial" w:hAnsi="Arial" w:cs="Arial"/>
          <w:b/>
          <w:sz w:val="20"/>
          <w:szCs w:val="20"/>
          <w:lang w:val="en-GB" w:eastAsia="ja-JP"/>
        </w:rPr>
        <w:t xml:space="preserve">f </w:t>
      </w:r>
      <w:r w:rsidR="008B33D9">
        <w:rPr>
          <w:rFonts w:ascii="Arial" w:hAnsi="Arial" w:cs="Arial"/>
          <w:b/>
          <w:sz w:val="20"/>
          <w:szCs w:val="20"/>
          <w:lang w:val="en-GB" w:eastAsia="ja-JP"/>
        </w:rPr>
        <w:t>set</w:t>
      </w:r>
      <w:r w:rsidR="0031590C">
        <w:rPr>
          <w:rFonts w:ascii="Arial" w:hAnsi="Arial" w:cs="Arial"/>
          <w:b/>
          <w:sz w:val="20"/>
          <w:szCs w:val="20"/>
          <w:lang w:val="en-GB" w:eastAsia="ja-JP"/>
        </w:rPr>
        <w:t>, an event-triggered</w:t>
      </w:r>
      <w:r w:rsidR="006851F5">
        <w:rPr>
          <w:rFonts w:ascii="Arial" w:hAnsi="Arial" w:cs="Arial"/>
          <w:b/>
          <w:sz w:val="20"/>
          <w:szCs w:val="20"/>
          <w:lang w:val="en-GB" w:eastAsia="ja-JP"/>
        </w:rPr>
        <w:t xml:space="preserve"> m</w:t>
      </w:r>
      <w:r w:rsidRPr="007E063A">
        <w:rPr>
          <w:rFonts w:ascii="Arial" w:hAnsi="Arial" w:cs="Arial"/>
          <w:b/>
          <w:sz w:val="20"/>
          <w:szCs w:val="20"/>
          <w:lang w:val="en-GB" w:eastAsia="ja-JP"/>
        </w:rPr>
        <w:t>easurement report</w:t>
      </w:r>
      <w:r w:rsidR="00A10884">
        <w:rPr>
          <w:rFonts w:ascii="Arial" w:hAnsi="Arial" w:cs="Arial"/>
          <w:b/>
          <w:sz w:val="20"/>
          <w:szCs w:val="20"/>
          <w:lang w:val="en-GB" w:eastAsia="ja-JP"/>
        </w:rPr>
        <w:t xml:space="preserve"> is initiated only if the triggering</w:t>
      </w:r>
      <w:r w:rsidR="006851F5">
        <w:rPr>
          <w:rFonts w:ascii="Arial" w:hAnsi="Arial" w:cs="Arial"/>
          <w:b/>
          <w:sz w:val="20"/>
          <w:szCs w:val="20"/>
          <w:lang w:val="en-GB" w:eastAsia="ja-JP"/>
        </w:rPr>
        <w:t xml:space="preserve"> cell is not included in the CHO candidate list.</w:t>
      </w:r>
    </w:p>
    <w:p w14:paraId="0E766C6E" w14:textId="55A14EE8" w:rsidR="001460DB" w:rsidRDefault="00CE4D4B" w:rsidP="00630329">
      <w:pPr>
        <w:spacing w:after="120"/>
        <w:jc w:val="both"/>
        <w:rPr>
          <w:rFonts w:ascii="Arial" w:hAnsi="Arial" w:cs="Arial"/>
          <w:sz w:val="20"/>
          <w:szCs w:val="20"/>
          <w:lang w:val="en-GB" w:eastAsia="ja-JP"/>
        </w:rPr>
      </w:pPr>
      <w:r>
        <w:rPr>
          <w:rFonts w:ascii="Arial" w:hAnsi="Arial" w:cs="Arial"/>
          <w:sz w:val="20"/>
          <w:szCs w:val="20"/>
          <w:lang w:val="en-GB" w:eastAsia="ja-JP"/>
        </w:rPr>
        <w:t>M</w:t>
      </w:r>
      <w:r w:rsidR="004E0958">
        <w:rPr>
          <w:rFonts w:ascii="Arial" w:hAnsi="Arial" w:cs="Arial"/>
          <w:sz w:val="20"/>
          <w:szCs w:val="20"/>
          <w:lang w:val="en-GB" w:eastAsia="ja-JP"/>
        </w:rPr>
        <w:t>easurement reports</w:t>
      </w:r>
      <w:r>
        <w:rPr>
          <w:rFonts w:ascii="Arial" w:hAnsi="Arial" w:cs="Arial"/>
          <w:sz w:val="20"/>
          <w:szCs w:val="20"/>
          <w:lang w:val="en-GB" w:eastAsia="ja-JP"/>
        </w:rPr>
        <w:t xml:space="preserve"> may also be skipped </w:t>
      </w:r>
      <w:r w:rsidR="00630329">
        <w:rPr>
          <w:rFonts w:ascii="Arial" w:hAnsi="Arial" w:cs="Arial"/>
          <w:sz w:val="20"/>
          <w:szCs w:val="20"/>
          <w:lang w:val="en-GB" w:eastAsia="ja-JP"/>
        </w:rPr>
        <w:t xml:space="preserve">when a </w:t>
      </w:r>
      <w:r>
        <w:rPr>
          <w:rFonts w:ascii="Arial" w:hAnsi="Arial" w:cs="Arial"/>
          <w:sz w:val="20"/>
          <w:szCs w:val="20"/>
          <w:lang w:val="en-GB" w:eastAsia="ja-JP"/>
        </w:rPr>
        <w:t xml:space="preserve">neighbour </w:t>
      </w:r>
      <w:r w:rsidR="00630329">
        <w:rPr>
          <w:rFonts w:ascii="Arial" w:hAnsi="Arial" w:cs="Arial"/>
          <w:sz w:val="20"/>
          <w:szCs w:val="20"/>
          <w:lang w:val="en-GB" w:eastAsia="ja-JP"/>
        </w:rPr>
        <w:t xml:space="preserve">cell meets the </w:t>
      </w:r>
      <w:r>
        <w:rPr>
          <w:rFonts w:ascii="Arial" w:hAnsi="Arial" w:cs="Arial"/>
          <w:sz w:val="20"/>
          <w:szCs w:val="20"/>
          <w:lang w:val="en-GB" w:eastAsia="ja-JP"/>
        </w:rPr>
        <w:t>entering condition of CHO-related measurement</w:t>
      </w:r>
      <w:r w:rsidR="00630329">
        <w:rPr>
          <w:rFonts w:ascii="Arial" w:hAnsi="Arial" w:cs="Arial"/>
          <w:sz w:val="20"/>
          <w:szCs w:val="20"/>
          <w:lang w:val="en-GB" w:eastAsia="ja-JP"/>
        </w:rPr>
        <w:t xml:space="preserve"> event, but there is already </w:t>
      </w:r>
      <w:r w:rsidR="008E0967">
        <w:rPr>
          <w:rFonts w:ascii="Arial" w:hAnsi="Arial" w:cs="Arial"/>
          <w:sz w:val="20"/>
          <w:szCs w:val="20"/>
          <w:lang w:val="en-GB" w:eastAsia="ja-JP"/>
        </w:rPr>
        <w:t>a</w:t>
      </w:r>
      <w:r w:rsidR="00630329">
        <w:rPr>
          <w:rFonts w:ascii="Arial" w:hAnsi="Arial" w:cs="Arial"/>
          <w:sz w:val="20"/>
          <w:szCs w:val="20"/>
          <w:lang w:val="en-GB" w:eastAsia="ja-JP"/>
        </w:rPr>
        <w:t xml:space="preserve"> </w:t>
      </w:r>
      <w:r w:rsidR="007525A8">
        <w:rPr>
          <w:rFonts w:ascii="Arial" w:hAnsi="Arial" w:cs="Arial"/>
          <w:sz w:val="20"/>
          <w:szCs w:val="20"/>
          <w:lang w:val="en-GB" w:eastAsia="ja-JP"/>
        </w:rPr>
        <w:t xml:space="preserve">CHO candidate </w:t>
      </w:r>
      <w:r w:rsidR="00630329">
        <w:rPr>
          <w:rFonts w:ascii="Arial" w:hAnsi="Arial" w:cs="Arial"/>
          <w:sz w:val="20"/>
          <w:szCs w:val="20"/>
          <w:lang w:val="en-GB" w:eastAsia="ja-JP"/>
        </w:rPr>
        <w:t xml:space="preserve">cell </w:t>
      </w:r>
      <w:r w:rsidR="007525A8">
        <w:rPr>
          <w:rFonts w:ascii="Arial" w:hAnsi="Arial" w:cs="Arial"/>
          <w:sz w:val="20"/>
          <w:szCs w:val="20"/>
          <w:lang w:val="en-GB" w:eastAsia="ja-JP"/>
        </w:rPr>
        <w:t xml:space="preserve">that </w:t>
      </w:r>
      <w:r w:rsidR="00630329">
        <w:rPr>
          <w:rFonts w:ascii="Arial" w:hAnsi="Arial" w:cs="Arial"/>
          <w:sz w:val="20"/>
          <w:szCs w:val="20"/>
          <w:lang w:val="en-GB" w:eastAsia="ja-JP"/>
        </w:rPr>
        <w:t>is better than the</w:t>
      </w:r>
      <w:r w:rsidR="007525A8">
        <w:rPr>
          <w:rFonts w:ascii="Arial" w:hAnsi="Arial" w:cs="Arial"/>
          <w:sz w:val="20"/>
          <w:szCs w:val="20"/>
          <w:lang w:val="en-GB" w:eastAsia="ja-JP"/>
        </w:rPr>
        <w:t xml:space="preserve"> triggering</w:t>
      </w:r>
      <w:r w:rsidR="00630329">
        <w:rPr>
          <w:rFonts w:ascii="Arial" w:hAnsi="Arial" w:cs="Arial"/>
          <w:sz w:val="20"/>
          <w:szCs w:val="20"/>
          <w:lang w:val="en-GB" w:eastAsia="ja-JP"/>
        </w:rPr>
        <w:t xml:space="preserve"> cell. </w:t>
      </w:r>
      <w:r w:rsidR="008E0967">
        <w:rPr>
          <w:rFonts w:ascii="Arial" w:hAnsi="Arial" w:cs="Arial"/>
          <w:sz w:val="20"/>
          <w:szCs w:val="20"/>
          <w:lang w:val="en-GB" w:eastAsia="ja-JP"/>
        </w:rPr>
        <w:t xml:space="preserve">Moreover, if there are multiple CHO candidate cells in the list, the report triggering cell can be compared with the </w:t>
      </w:r>
      <w:r w:rsidR="008E0967" w:rsidRPr="008E0967">
        <w:rPr>
          <w:rFonts w:ascii="Arial" w:hAnsi="Arial" w:cs="Arial"/>
          <w:i/>
          <w:sz w:val="20"/>
          <w:szCs w:val="20"/>
          <w:lang w:val="en-GB" w:eastAsia="ja-JP"/>
        </w:rPr>
        <w:t>n</w:t>
      </w:r>
      <w:r w:rsidR="008E0967">
        <w:rPr>
          <w:rFonts w:ascii="Arial" w:hAnsi="Arial" w:cs="Arial"/>
          <w:sz w:val="20"/>
          <w:szCs w:val="20"/>
          <w:lang w:val="en-GB" w:eastAsia="ja-JP"/>
        </w:rPr>
        <w:t xml:space="preserve">-th best cell in current list and a measurement report is sent only if the report triggering cell is better than the </w:t>
      </w:r>
      <w:r w:rsidR="008E0967" w:rsidRPr="008E0967">
        <w:rPr>
          <w:rFonts w:ascii="Arial" w:hAnsi="Arial" w:cs="Arial"/>
          <w:i/>
          <w:sz w:val="20"/>
          <w:szCs w:val="20"/>
          <w:lang w:val="en-GB" w:eastAsia="ja-JP"/>
        </w:rPr>
        <w:t>n</w:t>
      </w:r>
      <w:r w:rsidR="008E0967">
        <w:rPr>
          <w:rFonts w:ascii="Arial" w:hAnsi="Arial" w:cs="Arial"/>
          <w:sz w:val="20"/>
          <w:szCs w:val="20"/>
          <w:lang w:val="en-GB" w:eastAsia="ja-JP"/>
        </w:rPr>
        <w:t xml:space="preserve">-th best cell. </w:t>
      </w:r>
      <w:r w:rsidR="001460DB">
        <w:rPr>
          <w:rFonts w:ascii="Arial" w:hAnsi="Arial" w:cs="Arial"/>
          <w:sz w:val="20"/>
          <w:szCs w:val="20"/>
          <w:lang w:val="en-GB" w:eastAsia="ja-JP"/>
        </w:rPr>
        <w:t xml:space="preserve">Such mechanism not only </w:t>
      </w:r>
      <w:r w:rsidR="00ED2728">
        <w:rPr>
          <w:rFonts w:ascii="Arial" w:hAnsi="Arial" w:cs="Arial"/>
          <w:sz w:val="20"/>
          <w:szCs w:val="20"/>
          <w:lang w:val="en-GB" w:eastAsia="ja-JP"/>
        </w:rPr>
        <w:t xml:space="preserve">helps reduce </w:t>
      </w:r>
      <w:r w:rsidR="00F64168">
        <w:rPr>
          <w:rFonts w:ascii="Arial" w:hAnsi="Arial" w:cs="Arial"/>
          <w:sz w:val="20"/>
          <w:szCs w:val="20"/>
          <w:lang w:val="en-GB" w:eastAsia="ja-JP"/>
        </w:rPr>
        <w:t>signalling overhead, but also helps the network configure a better CHO candidate cell set.</w:t>
      </w:r>
    </w:p>
    <w:p w14:paraId="552A4686" w14:textId="2E331F7C" w:rsidR="00A10884" w:rsidRDefault="00CE4D4B" w:rsidP="00630329">
      <w:pPr>
        <w:spacing w:after="120"/>
        <w:jc w:val="both"/>
        <w:rPr>
          <w:rFonts w:ascii="Arial" w:hAnsi="Arial" w:cs="Arial"/>
          <w:sz w:val="20"/>
          <w:szCs w:val="20"/>
          <w:lang w:val="en-GB" w:eastAsia="ja-JP"/>
        </w:rPr>
      </w:pPr>
      <w:r>
        <w:rPr>
          <w:rFonts w:ascii="Arial" w:hAnsi="Arial" w:cs="Arial"/>
          <w:sz w:val="20"/>
          <w:szCs w:val="20"/>
          <w:lang w:val="en-GB" w:eastAsia="ja-JP"/>
        </w:rPr>
        <w:t>The “event for CHO” indic</w:t>
      </w:r>
      <w:r w:rsidR="007267CB">
        <w:rPr>
          <w:rFonts w:ascii="Arial" w:hAnsi="Arial" w:cs="Arial"/>
          <w:sz w:val="20"/>
          <w:szCs w:val="20"/>
          <w:lang w:val="en-GB" w:eastAsia="ja-JP"/>
        </w:rPr>
        <w:t xml:space="preserve">ator </w:t>
      </w:r>
      <w:r w:rsidR="00DD7250">
        <w:rPr>
          <w:rFonts w:ascii="Arial" w:hAnsi="Arial" w:cs="Arial"/>
          <w:sz w:val="20"/>
          <w:szCs w:val="20"/>
          <w:lang w:val="en-GB" w:eastAsia="ja-JP"/>
        </w:rPr>
        <w:t xml:space="preserve">introduced in Proposal 1 </w:t>
      </w:r>
      <w:r w:rsidR="007267CB">
        <w:rPr>
          <w:rFonts w:ascii="Arial" w:hAnsi="Arial" w:cs="Arial"/>
          <w:sz w:val="20"/>
          <w:szCs w:val="20"/>
          <w:lang w:val="en-GB" w:eastAsia="ja-JP"/>
        </w:rPr>
        <w:t>can also be used here: When the indicator</w:t>
      </w:r>
      <w:r>
        <w:rPr>
          <w:rFonts w:ascii="Arial" w:hAnsi="Arial" w:cs="Arial"/>
          <w:sz w:val="20"/>
          <w:szCs w:val="20"/>
          <w:lang w:val="en-GB" w:eastAsia="ja-JP"/>
        </w:rPr>
        <w:t xml:space="preserve"> is set</w:t>
      </w:r>
      <w:r w:rsidR="00221EF7">
        <w:rPr>
          <w:rFonts w:ascii="Arial" w:hAnsi="Arial" w:cs="Arial"/>
          <w:sz w:val="20"/>
          <w:szCs w:val="20"/>
          <w:lang w:val="en-GB" w:eastAsia="ja-JP"/>
        </w:rPr>
        <w:t>,</w:t>
      </w:r>
      <w:r w:rsidR="00221EF7" w:rsidRPr="00221EF7">
        <w:t xml:space="preserve"> </w:t>
      </w:r>
      <w:r w:rsidR="00221EF7" w:rsidRPr="00221EF7">
        <w:rPr>
          <w:rFonts w:ascii="Arial" w:hAnsi="Arial" w:cs="Arial"/>
          <w:sz w:val="20"/>
          <w:szCs w:val="20"/>
          <w:lang w:val="en-GB" w:eastAsia="ja-JP"/>
        </w:rPr>
        <w:t>an event-driven measurement report is initiated only if the</w:t>
      </w:r>
      <w:r w:rsidR="008E0967">
        <w:rPr>
          <w:rFonts w:ascii="Arial" w:hAnsi="Arial" w:cs="Arial"/>
          <w:sz w:val="20"/>
          <w:szCs w:val="20"/>
          <w:lang w:val="en-GB" w:eastAsia="ja-JP"/>
        </w:rPr>
        <w:t xml:space="preserve"> </w:t>
      </w:r>
      <w:r w:rsidR="008E0967" w:rsidRPr="008E0967">
        <w:rPr>
          <w:rFonts w:ascii="Arial" w:hAnsi="Arial" w:cs="Arial"/>
          <w:i/>
          <w:sz w:val="20"/>
          <w:szCs w:val="20"/>
          <w:lang w:val="en-GB" w:eastAsia="ja-JP"/>
        </w:rPr>
        <w:t>n</w:t>
      </w:r>
      <w:r w:rsidR="008E0967">
        <w:rPr>
          <w:rFonts w:ascii="Arial" w:hAnsi="Arial" w:cs="Arial"/>
          <w:sz w:val="20"/>
          <w:szCs w:val="20"/>
          <w:lang w:val="en-GB" w:eastAsia="ja-JP"/>
        </w:rPr>
        <w:t xml:space="preserve">-th best cell in current CHO candidate cell list is no </w:t>
      </w:r>
      <w:r w:rsidR="00221EF7" w:rsidRPr="00221EF7">
        <w:rPr>
          <w:rFonts w:ascii="Arial" w:hAnsi="Arial" w:cs="Arial"/>
          <w:sz w:val="20"/>
          <w:szCs w:val="20"/>
          <w:lang w:val="en-GB" w:eastAsia="ja-JP"/>
        </w:rPr>
        <w:t>better than the triggering cell</w:t>
      </w:r>
      <w:r w:rsidR="00221EF7">
        <w:rPr>
          <w:rFonts w:ascii="Arial" w:hAnsi="Arial" w:cs="Arial"/>
          <w:sz w:val="20"/>
          <w:szCs w:val="20"/>
          <w:lang w:val="en-GB" w:eastAsia="ja-JP"/>
        </w:rPr>
        <w:t>.</w:t>
      </w:r>
      <w:r w:rsidR="006817B8">
        <w:rPr>
          <w:rFonts w:ascii="Arial" w:hAnsi="Arial" w:cs="Arial"/>
          <w:sz w:val="20"/>
          <w:szCs w:val="20"/>
          <w:lang w:val="en-GB" w:eastAsia="ja-JP"/>
        </w:rPr>
        <w:t xml:space="preserve"> </w:t>
      </w:r>
      <w:r w:rsidR="008E0967">
        <w:rPr>
          <w:rFonts w:ascii="Arial" w:hAnsi="Arial" w:cs="Arial"/>
          <w:sz w:val="20"/>
          <w:szCs w:val="20"/>
          <w:lang w:val="en-GB" w:eastAsia="ja-JP"/>
        </w:rPr>
        <w:t>Also n</w:t>
      </w:r>
      <w:r w:rsidR="006817B8">
        <w:rPr>
          <w:rFonts w:ascii="Arial" w:hAnsi="Arial" w:cs="Arial"/>
          <w:sz w:val="20"/>
          <w:szCs w:val="20"/>
          <w:lang w:val="en-GB" w:eastAsia="ja-JP"/>
        </w:rPr>
        <w:t xml:space="preserve">otice that in multi-beam operation, </w:t>
      </w:r>
      <w:r w:rsidR="00F82A8B">
        <w:rPr>
          <w:rFonts w:ascii="Arial" w:hAnsi="Arial" w:cs="Arial"/>
          <w:sz w:val="20"/>
          <w:szCs w:val="20"/>
          <w:lang w:val="en-GB" w:eastAsia="ja-JP"/>
        </w:rPr>
        <w:t xml:space="preserve">“better” can be </w:t>
      </w:r>
      <w:r w:rsidR="00761625">
        <w:rPr>
          <w:rFonts w:ascii="Arial" w:hAnsi="Arial" w:cs="Arial"/>
          <w:sz w:val="20"/>
          <w:szCs w:val="20"/>
          <w:lang w:val="en-GB" w:eastAsia="ja-JP"/>
        </w:rPr>
        <w:t>interpreted in different ways (e.g., higher cell quality, more ‘good’ beams); the details can be further</w:t>
      </w:r>
      <w:r w:rsidR="00FF48DD">
        <w:rPr>
          <w:rFonts w:ascii="Arial" w:hAnsi="Arial" w:cs="Arial"/>
          <w:sz w:val="20"/>
          <w:szCs w:val="20"/>
          <w:lang w:val="en-GB" w:eastAsia="ja-JP"/>
        </w:rPr>
        <w:t xml:space="preserve"> studied. </w:t>
      </w:r>
    </w:p>
    <w:p w14:paraId="08089D1A" w14:textId="7797CC14" w:rsidR="00EC6754" w:rsidRDefault="00EC6754" w:rsidP="000879F0">
      <w:pPr>
        <w:spacing w:after="120"/>
        <w:ind w:left="1440" w:hanging="1440"/>
        <w:jc w:val="both"/>
        <w:rPr>
          <w:rFonts w:ascii="Arial" w:hAnsi="Arial" w:cs="Arial"/>
          <w:b/>
          <w:sz w:val="20"/>
          <w:szCs w:val="20"/>
          <w:lang w:val="en-GB" w:eastAsia="ja-JP"/>
        </w:rPr>
      </w:pPr>
      <w:r w:rsidRPr="007E063A">
        <w:rPr>
          <w:rFonts w:ascii="Arial" w:hAnsi="Arial" w:cs="Arial"/>
          <w:b/>
          <w:sz w:val="20"/>
          <w:szCs w:val="20"/>
          <w:lang w:val="en-GB" w:eastAsia="ja-JP"/>
        </w:rPr>
        <w:t xml:space="preserve">Proposal </w:t>
      </w:r>
      <w:r w:rsidR="00CE4D4B">
        <w:rPr>
          <w:rFonts w:ascii="Arial" w:hAnsi="Arial" w:cs="Arial"/>
          <w:b/>
          <w:sz w:val="20"/>
          <w:szCs w:val="20"/>
          <w:lang w:val="en-GB" w:eastAsia="ja-JP"/>
        </w:rPr>
        <w:t>2</w:t>
      </w:r>
      <w:r w:rsidRPr="007E063A">
        <w:rPr>
          <w:rFonts w:ascii="Arial" w:hAnsi="Arial" w:cs="Arial"/>
          <w:b/>
          <w:sz w:val="20"/>
          <w:szCs w:val="20"/>
          <w:lang w:val="en-GB" w:eastAsia="ja-JP"/>
        </w:rPr>
        <w:t>:</w:t>
      </w:r>
      <w:r w:rsidRPr="007E063A">
        <w:rPr>
          <w:rFonts w:ascii="Arial" w:hAnsi="Arial" w:cs="Arial"/>
          <w:b/>
          <w:sz w:val="20"/>
          <w:szCs w:val="20"/>
          <w:lang w:val="en-GB" w:eastAsia="ja-JP"/>
        </w:rPr>
        <w:tab/>
      </w:r>
      <w:r>
        <w:rPr>
          <w:rFonts w:ascii="Arial" w:hAnsi="Arial" w:cs="Arial"/>
          <w:b/>
          <w:sz w:val="20"/>
          <w:szCs w:val="20"/>
          <w:lang w:val="en-GB" w:eastAsia="ja-JP"/>
        </w:rPr>
        <w:t xml:space="preserve">If </w:t>
      </w:r>
      <w:r w:rsidR="006817B8">
        <w:rPr>
          <w:rFonts w:ascii="Arial" w:hAnsi="Arial" w:cs="Arial"/>
          <w:b/>
          <w:sz w:val="20"/>
          <w:szCs w:val="20"/>
          <w:lang w:val="en-GB" w:eastAsia="ja-JP"/>
        </w:rPr>
        <w:t>the “</w:t>
      </w:r>
      <w:r w:rsidR="002E43BF">
        <w:rPr>
          <w:rFonts w:ascii="Arial" w:hAnsi="Arial" w:cs="Arial"/>
          <w:b/>
          <w:sz w:val="20"/>
          <w:szCs w:val="20"/>
          <w:lang w:val="en-GB" w:eastAsia="ja-JP"/>
        </w:rPr>
        <w:t xml:space="preserve">event for </w:t>
      </w:r>
      <w:r w:rsidR="006817B8">
        <w:rPr>
          <w:rFonts w:ascii="Arial" w:hAnsi="Arial" w:cs="Arial"/>
          <w:b/>
          <w:sz w:val="20"/>
          <w:szCs w:val="20"/>
          <w:lang w:val="en-GB" w:eastAsia="ja-JP"/>
        </w:rPr>
        <w:t>CHO</w:t>
      </w:r>
      <w:r w:rsidR="002E43BF">
        <w:rPr>
          <w:rFonts w:ascii="Arial" w:hAnsi="Arial" w:cs="Arial"/>
          <w:b/>
          <w:sz w:val="20"/>
          <w:szCs w:val="20"/>
          <w:lang w:val="en-GB" w:eastAsia="ja-JP"/>
        </w:rPr>
        <w:t>” indicator</w:t>
      </w:r>
      <w:r w:rsidR="006817B8">
        <w:rPr>
          <w:rFonts w:ascii="Arial" w:hAnsi="Arial" w:cs="Arial"/>
          <w:b/>
          <w:sz w:val="20"/>
          <w:szCs w:val="20"/>
          <w:lang w:val="en-GB" w:eastAsia="ja-JP"/>
        </w:rPr>
        <w:t xml:space="preserve"> is </w:t>
      </w:r>
      <w:r w:rsidR="00213857">
        <w:rPr>
          <w:rFonts w:ascii="Arial" w:hAnsi="Arial" w:cs="Arial"/>
          <w:b/>
          <w:sz w:val="20"/>
          <w:szCs w:val="20"/>
          <w:lang w:val="en-GB" w:eastAsia="ja-JP"/>
        </w:rPr>
        <w:t>set, an event-triggered</w:t>
      </w:r>
      <w:r>
        <w:rPr>
          <w:rFonts w:ascii="Arial" w:hAnsi="Arial" w:cs="Arial"/>
          <w:b/>
          <w:sz w:val="20"/>
          <w:szCs w:val="20"/>
          <w:lang w:val="en-GB" w:eastAsia="ja-JP"/>
        </w:rPr>
        <w:t xml:space="preserve"> m</w:t>
      </w:r>
      <w:r w:rsidRPr="007E063A">
        <w:rPr>
          <w:rFonts w:ascii="Arial" w:hAnsi="Arial" w:cs="Arial"/>
          <w:b/>
          <w:sz w:val="20"/>
          <w:szCs w:val="20"/>
          <w:lang w:val="en-GB" w:eastAsia="ja-JP"/>
        </w:rPr>
        <w:t>easurement report</w:t>
      </w:r>
      <w:r>
        <w:rPr>
          <w:rFonts w:ascii="Arial" w:hAnsi="Arial" w:cs="Arial"/>
          <w:b/>
          <w:sz w:val="20"/>
          <w:szCs w:val="20"/>
          <w:lang w:val="en-GB" w:eastAsia="ja-JP"/>
        </w:rPr>
        <w:t xml:space="preserve"> is initiated</w:t>
      </w:r>
      <w:r w:rsidRPr="003B5043">
        <w:rPr>
          <w:rFonts w:ascii="Arial" w:hAnsi="Arial" w:cs="Arial"/>
          <w:b/>
          <w:sz w:val="20"/>
          <w:szCs w:val="20"/>
          <w:lang w:val="en-GB" w:eastAsia="ja-JP"/>
        </w:rPr>
        <w:t xml:space="preserve"> </w:t>
      </w:r>
      <w:r w:rsidR="003B5043" w:rsidRPr="003B5043">
        <w:rPr>
          <w:rFonts w:ascii="Arial" w:hAnsi="Arial" w:cs="Arial"/>
          <w:b/>
          <w:sz w:val="20"/>
          <w:szCs w:val="20"/>
          <w:lang w:val="en-GB" w:eastAsia="ja-JP"/>
        </w:rPr>
        <w:t xml:space="preserve">only if the </w:t>
      </w:r>
      <w:r w:rsidR="003B5043" w:rsidRPr="003B5043">
        <w:rPr>
          <w:rFonts w:ascii="Arial" w:hAnsi="Arial" w:cs="Arial"/>
          <w:b/>
          <w:i/>
          <w:sz w:val="20"/>
          <w:szCs w:val="20"/>
          <w:lang w:val="en-GB" w:eastAsia="ja-JP"/>
        </w:rPr>
        <w:t>n</w:t>
      </w:r>
      <w:r w:rsidR="003B5043" w:rsidRPr="003B5043">
        <w:rPr>
          <w:rFonts w:ascii="Arial" w:hAnsi="Arial" w:cs="Arial"/>
          <w:b/>
          <w:sz w:val="20"/>
          <w:szCs w:val="20"/>
          <w:lang w:val="en-GB" w:eastAsia="ja-JP"/>
        </w:rPr>
        <w:t xml:space="preserve">-th best cell in current CHO candidate cell list is no better than the </w:t>
      </w:r>
      <w:r w:rsidR="003B5043">
        <w:rPr>
          <w:rFonts w:ascii="Arial" w:hAnsi="Arial" w:cs="Arial"/>
          <w:b/>
          <w:sz w:val="20"/>
          <w:szCs w:val="20"/>
          <w:lang w:val="en-GB" w:eastAsia="ja-JP"/>
        </w:rPr>
        <w:t xml:space="preserve">report </w:t>
      </w:r>
      <w:r w:rsidR="003B5043" w:rsidRPr="003B5043">
        <w:rPr>
          <w:rFonts w:ascii="Arial" w:hAnsi="Arial" w:cs="Arial"/>
          <w:b/>
          <w:sz w:val="20"/>
          <w:szCs w:val="20"/>
          <w:lang w:val="en-GB" w:eastAsia="ja-JP"/>
        </w:rPr>
        <w:t>triggering cell.</w:t>
      </w:r>
      <w:r w:rsidR="00761625">
        <w:rPr>
          <w:rFonts w:ascii="Arial" w:hAnsi="Arial" w:cs="Arial"/>
          <w:b/>
          <w:sz w:val="20"/>
          <w:szCs w:val="20"/>
          <w:lang w:val="en-GB" w:eastAsia="ja-JP"/>
        </w:rPr>
        <w:t xml:space="preserve"> </w:t>
      </w:r>
      <w:r w:rsidR="00A63623">
        <w:rPr>
          <w:rFonts w:ascii="Arial" w:hAnsi="Arial" w:cs="Arial"/>
          <w:b/>
          <w:sz w:val="20"/>
          <w:szCs w:val="20"/>
          <w:lang w:val="en-GB" w:eastAsia="ja-JP"/>
        </w:rPr>
        <w:t>It is FFS how to define a “better” cell in multi-beam operation.</w:t>
      </w:r>
    </w:p>
    <w:p w14:paraId="29639314" w14:textId="4CD4F7B6" w:rsidR="002E43BF" w:rsidRPr="002E43BF" w:rsidRDefault="002E43BF" w:rsidP="002E43BF">
      <w:pPr>
        <w:spacing w:after="120"/>
        <w:jc w:val="both"/>
        <w:rPr>
          <w:rFonts w:ascii="Arial" w:hAnsi="Arial" w:cs="Arial"/>
          <w:sz w:val="20"/>
          <w:szCs w:val="20"/>
          <w:lang w:val="en-GB" w:eastAsia="ja-JP"/>
        </w:rPr>
      </w:pPr>
      <w:r>
        <w:rPr>
          <w:rFonts w:ascii="Arial" w:hAnsi="Arial" w:cs="Arial"/>
          <w:sz w:val="20"/>
          <w:szCs w:val="20"/>
          <w:lang w:val="en-GB" w:eastAsia="ja-JP"/>
        </w:rPr>
        <w:t xml:space="preserve">The abovementioned “event for CHO” indicator should be associated with the configuration of a measurement event. For example, we can add a BOOLEAN field </w:t>
      </w:r>
      <w:r w:rsidR="00F040C0" w:rsidRPr="00F040C0">
        <w:rPr>
          <w:rFonts w:ascii="Arial" w:hAnsi="Arial" w:cs="Arial"/>
          <w:i/>
          <w:sz w:val="20"/>
          <w:szCs w:val="20"/>
          <w:lang w:val="en-GB" w:eastAsia="ja-JP"/>
        </w:rPr>
        <w:t>eventForCHO</w:t>
      </w:r>
      <w:r w:rsidR="00F040C0">
        <w:rPr>
          <w:rFonts w:ascii="Arial" w:hAnsi="Arial" w:cs="Arial"/>
          <w:sz w:val="20"/>
          <w:szCs w:val="20"/>
          <w:lang w:val="en-GB" w:eastAsia="ja-JP"/>
        </w:rPr>
        <w:t xml:space="preserve"> </w:t>
      </w:r>
      <w:r>
        <w:rPr>
          <w:rFonts w:ascii="Arial" w:hAnsi="Arial" w:cs="Arial"/>
          <w:sz w:val="20"/>
          <w:szCs w:val="20"/>
          <w:lang w:val="en-GB" w:eastAsia="ja-JP"/>
        </w:rPr>
        <w:t>into the configuration of event A3, as shown below</w:t>
      </w:r>
      <w:r w:rsidR="001C6C3F">
        <w:rPr>
          <w:rFonts w:ascii="Arial" w:hAnsi="Arial" w:cs="Arial"/>
          <w:sz w:val="20"/>
          <w:szCs w:val="20"/>
          <w:lang w:val="en-GB" w:eastAsia="ja-JP"/>
        </w:rPr>
        <w:t>:</w:t>
      </w:r>
    </w:p>
    <w:p w14:paraId="6C0E24E7" w14:textId="77777777" w:rsidR="002E43BF" w:rsidRPr="002E43BF" w:rsidRDefault="002E43BF" w:rsidP="002E4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noProof/>
          <w:sz w:val="16"/>
          <w:szCs w:val="20"/>
          <w:lang w:val="en-GB" w:eastAsia="en-GB"/>
        </w:rPr>
      </w:pPr>
      <w:r w:rsidRPr="002E43BF">
        <w:rPr>
          <w:rFonts w:ascii="Courier New" w:eastAsia="Times New Roman" w:hAnsi="Courier New"/>
          <w:noProof/>
          <w:sz w:val="16"/>
          <w:szCs w:val="20"/>
          <w:lang w:val="en-GB" w:eastAsia="en-GB"/>
        </w:rPr>
        <w:tab/>
      </w:r>
      <w:r w:rsidRPr="002E43BF">
        <w:rPr>
          <w:rFonts w:ascii="Courier New" w:eastAsia="Times New Roman" w:hAnsi="Courier New"/>
          <w:noProof/>
          <w:sz w:val="16"/>
          <w:szCs w:val="20"/>
          <w:lang w:val="en-GB" w:eastAsia="en-GB"/>
        </w:rPr>
        <w:tab/>
        <w:t xml:space="preserve">eventA3                                     </w:t>
      </w:r>
      <w:r w:rsidRPr="002E43BF">
        <w:rPr>
          <w:rFonts w:ascii="Courier New" w:eastAsia="Times New Roman" w:hAnsi="Courier New"/>
          <w:noProof/>
          <w:color w:val="993366"/>
          <w:sz w:val="16"/>
          <w:szCs w:val="20"/>
          <w:lang w:val="en-GB" w:eastAsia="en-GB"/>
        </w:rPr>
        <w:t>SEQUENCE</w:t>
      </w:r>
      <w:r w:rsidRPr="002E43BF">
        <w:rPr>
          <w:rFonts w:ascii="Courier New" w:eastAsia="Times New Roman" w:hAnsi="Courier New"/>
          <w:noProof/>
          <w:sz w:val="16"/>
          <w:szCs w:val="20"/>
          <w:lang w:val="en-GB" w:eastAsia="en-GB"/>
        </w:rPr>
        <w:t xml:space="preserve"> {</w:t>
      </w:r>
    </w:p>
    <w:p w14:paraId="75AAAC6C" w14:textId="77777777" w:rsidR="002E43BF" w:rsidRPr="002E43BF" w:rsidRDefault="002E43BF" w:rsidP="002E4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noProof/>
          <w:sz w:val="16"/>
          <w:szCs w:val="20"/>
          <w:lang w:val="en-GB" w:eastAsia="en-GB"/>
        </w:rPr>
      </w:pPr>
      <w:r w:rsidRPr="002E43BF">
        <w:rPr>
          <w:rFonts w:ascii="Courier New" w:eastAsia="Times New Roman" w:hAnsi="Courier New"/>
          <w:noProof/>
          <w:sz w:val="16"/>
          <w:szCs w:val="20"/>
          <w:lang w:val="en-GB" w:eastAsia="en-GB"/>
        </w:rPr>
        <w:t xml:space="preserve">            a3-Offset                                   MeasTriggerQuantityOffset,</w:t>
      </w:r>
    </w:p>
    <w:p w14:paraId="2FA5AAD7" w14:textId="77777777" w:rsidR="002E43BF" w:rsidRPr="002E43BF" w:rsidRDefault="002E43BF" w:rsidP="002E4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noProof/>
          <w:sz w:val="16"/>
          <w:szCs w:val="20"/>
          <w:lang w:val="en-GB" w:eastAsia="en-GB"/>
        </w:rPr>
      </w:pPr>
      <w:r w:rsidRPr="002E43BF">
        <w:rPr>
          <w:rFonts w:ascii="Courier New" w:eastAsia="Times New Roman" w:hAnsi="Courier New"/>
          <w:noProof/>
          <w:sz w:val="16"/>
          <w:szCs w:val="20"/>
          <w:lang w:val="en-GB" w:eastAsia="en-GB"/>
        </w:rPr>
        <w:t xml:space="preserve">            reportOnLeave                               </w:t>
      </w:r>
      <w:r w:rsidRPr="002E43BF">
        <w:rPr>
          <w:rFonts w:ascii="Courier New" w:eastAsia="Times New Roman" w:hAnsi="Courier New"/>
          <w:noProof/>
          <w:color w:val="993366"/>
          <w:sz w:val="16"/>
          <w:szCs w:val="20"/>
          <w:lang w:val="en-GB" w:eastAsia="en-GB"/>
        </w:rPr>
        <w:t>BOOLEAN</w:t>
      </w:r>
      <w:r w:rsidRPr="002E43BF">
        <w:rPr>
          <w:rFonts w:ascii="Courier New" w:eastAsia="Times New Roman" w:hAnsi="Courier New"/>
          <w:noProof/>
          <w:sz w:val="16"/>
          <w:szCs w:val="20"/>
          <w:lang w:val="en-GB" w:eastAsia="en-GB"/>
        </w:rPr>
        <w:t>,</w:t>
      </w:r>
    </w:p>
    <w:p w14:paraId="0197BA79" w14:textId="77777777" w:rsidR="002E43BF" w:rsidRPr="002E43BF" w:rsidRDefault="002E43BF" w:rsidP="002E4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noProof/>
          <w:sz w:val="16"/>
          <w:szCs w:val="20"/>
          <w:lang w:val="en-GB" w:eastAsia="en-GB"/>
        </w:rPr>
      </w:pPr>
      <w:r w:rsidRPr="002E43BF">
        <w:rPr>
          <w:rFonts w:ascii="Courier New" w:eastAsia="Times New Roman" w:hAnsi="Courier New"/>
          <w:noProof/>
          <w:sz w:val="16"/>
          <w:szCs w:val="20"/>
          <w:lang w:val="en-GB" w:eastAsia="en-GB"/>
        </w:rPr>
        <w:t xml:space="preserve">            hysteresis                                  Hysteresis,</w:t>
      </w:r>
    </w:p>
    <w:p w14:paraId="34D9688F" w14:textId="77777777" w:rsidR="002E43BF" w:rsidRPr="002E43BF" w:rsidRDefault="002E43BF" w:rsidP="002E4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noProof/>
          <w:sz w:val="16"/>
          <w:szCs w:val="20"/>
          <w:lang w:val="en-GB" w:eastAsia="en-GB"/>
        </w:rPr>
      </w:pPr>
      <w:r w:rsidRPr="002E43BF">
        <w:rPr>
          <w:rFonts w:ascii="Courier New" w:eastAsia="Times New Roman" w:hAnsi="Courier New"/>
          <w:noProof/>
          <w:sz w:val="16"/>
          <w:szCs w:val="20"/>
          <w:lang w:val="en-GB" w:eastAsia="en-GB"/>
        </w:rPr>
        <w:t xml:space="preserve">            timeToTrigger                               TimeToTrigger,</w:t>
      </w:r>
    </w:p>
    <w:p w14:paraId="138CFD0F" w14:textId="77777777" w:rsidR="002E43BF" w:rsidRPr="002E43BF" w:rsidRDefault="002E43BF" w:rsidP="002E4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noProof/>
          <w:color w:val="993366"/>
          <w:sz w:val="16"/>
          <w:szCs w:val="20"/>
          <w:lang w:val="en-GB" w:eastAsia="en-GB"/>
        </w:rPr>
      </w:pPr>
      <w:r w:rsidRPr="002E43BF">
        <w:rPr>
          <w:rFonts w:ascii="Courier New" w:eastAsia="Times New Roman" w:hAnsi="Courier New"/>
          <w:noProof/>
          <w:sz w:val="16"/>
          <w:szCs w:val="20"/>
          <w:lang w:val="en-GB" w:eastAsia="en-GB"/>
        </w:rPr>
        <w:t xml:space="preserve">            useWhiteCellList                            </w:t>
      </w:r>
      <w:r w:rsidRPr="002E43BF">
        <w:rPr>
          <w:rFonts w:ascii="Courier New" w:eastAsia="Times New Roman" w:hAnsi="Courier New"/>
          <w:noProof/>
          <w:color w:val="993366"/>
          <w:sz w:val="16"/>
          <w:szCs w:val="20"/>
          <w:lang w:val="en-GB" w:eastAsia="en-GB"/>
        </w:rPr>
        <w:t>BOOLEAN,</w:t>
      </w:r>
    </w:p>
    <w:p w14:paraId="22D4F5E4" w14:textId="008FED1E" w:rsidR="002E43BF" w:rsidRPr="002E43BF" w:rsidRDefault="002E43BF" w:rsidP="002E4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noProof/>
          <w:color w:val="993366"/>
          <w:sz w:val="16"/>
          <w:szCs w:val="20"/>
          <w:lang w:val="en-GB" w:eastAsia="en-GB"/>
        </w:rPr>
      </w:pPr>
      <w:r w:rsidRPr="002E43BF">
        <w:rPr>
          <w:rFonts w:ascii="Courier New" w:eastAsia="Times New Roman" w:hAnsi="Courier New"/>
          <w:noProof/>
          <w:sz w:val="16"/>
          <w:szCs w:val="20"/>
          <w:lang w:val="en-GB" w:eastAsia="en-GB"/>
        </w:rPr>
        <w:t xml:space="preserve">            </w:t>
      </w:r>
      <w:r w:rsidRPr="002E43BF">
        <w:rPr>
          <w:rFonts w:ascii="Courier New" w:eastAsia="Times New Roman" w:hAnsi="Courier New"/>
          <w:noProof/>
          <w:sz w:val="16"/>
          <w:szCs w:val="20"/>
          <w:highlight w:val="yellow"/>
          <w:lang w:val="en-GB" w:eastAsia="en-GB"/>
        </w:rPr>
        <w:t>eventForCHO</w:t>
      </w:r>
      <w:r w:rsidRPr="002E43BF">
        <w:rPr>
          <w:rFonts w:ascii="Courier New" w:eastAsia="Times New Roman" w:hAnsi="Courier New"/>
          <w:noProof/>
          <w:sz w:val="16"/>
          <w:szCs w:val="20"/>
          <w:highlight w:val="yellow"/>
          <w:lang w:val="en-GB" w:eastAsia="en-GB"/>
        </w:rPr>
        <w:tab/>
        <w:t xml:space="preserve">                            </w:t>
      </w:r>
      <w:r>
        <w:rPr>
          <w:rFonts w:ascii="Courier New" w:eastAsia="Times New Roman" w:hAnsi="Courier New"/>
          <w:noProof/>
          <w:sz w:val="16"/>
          <w:szCs w:val="20"/>
          <w:highlight w:val="yellow"/>
          <w:lang w:val="en-GB" w:eastAsia="en-GB"/>
        </w:rPr>
        <w:tab/>
      </w:r>
      <w:r w:rsidRPr="002E43BF">
        <w:rPr>
          <w:rFonts w:ascii="Courier New" w:eastAsia="Times New Roman" w:hAnsi="Courier New"/>
          <w:noProof/>
          <w:color w:val="993366"/>
          <w:sz w:val="16"/>
          <w:szCs w:val="20"/>
          <w:highlight w:val="yellow"/>
          <w:lang w:val="en-GB" w:eastAsia="en-GB"/>
        </w:rPr>
        <w:t>BOOLEAN</w:t>
      </w:r>
      <w:r w:rsidRPr="002E43BF">
        <w:rPr>
          <w:rFonts w:ascii="Courier New" w:eastAsia="Times New Roman" w:hAnsi="Courier New"/>
          <w:noProof/>
          <w:color w:val="993366"/>
          <w:sz w:val="16"/>
          <w:szCs w:val="20"/>
          <w:lang w:val="en-GB" w:eastAsia="en-GB"/>
        </w:rPr>
        <w:tab/>
      </w:r>
      <w:r w:rsidRPr="002E43BF">
        <w:rPr>
          <w:rFonts w:ascii="Courier New" w:eastAsia="Times New Roman" w:hAnsi="Courier New"/>
          <w:noProof/>
          <w:color w:val="993366"/>
          <w:sz w:val="16"/>
          <w:szCs w:val="20"/>
          <w:lang w:val="en-GB" w:eastAsia="en-GB"/>
        </w:rPr>
        <w:tab/>
      </w:r>
      <w:r w:rsidRPr="002E43BF">
        <w:rPr>
          <w:rFonts w:ascii="Courier New" w:eastAsia="Times New Roman" w:hAnsi="Courier New"/>
          <w:noProof/>
          <w:color w:val="993366"/>
          <w:sz w:val="16"/>
          <w:szCs w:val="20"/>
          <w:lang w:val="en-GB" w:eastAsia="en-GB"/>
        </w:rPr>
        <w:tab/>
      </w:r>
    </w:p>
    <w:p w14:paraId="5EE9E7F5" w14:textId="77777777" w:rsidR="002E43BF" w:rsidRPr="002E43BF" w:rsidRDefault="002E43BF" w:rsidP="002E4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noProof/>
          <w:sz w:val="16"/>
          <w:szCs w:val="20"/>
          <w:lang w:val="en-GB" w:eastAsia="en-GB"/>
        </w:rPr>
      </w:pPr>
      <w:r w:rsidRPr="002E43BF">
        <w:rPr>
          <w:rFonts w:ascii="Courier New" w:eastAsia="Times New Roman" w:hAnsi="Courier New"/>
          <w:noProof/>
          <w:sz w:val="16"/>
          <w:szCs w:val="20"/>
          <w:lang w:val="en-GB" w:eastAsia="en-GB"/>
        </w:rPr>
        <w:t xml:space="preserve">        },</w:t>
      </w:r>
    </w:p>
    <w:p w14:paraId="4E748612" w14:textId="77777777" w:rsidR="002E43BF" w:rsidRPr="002E43BF" w:rsidRDefault="002E43BF" w:rsidP="002E43BF">
      <w:pPr>
        <w:widowControl w:val="0"/>
        <w:jc w:val="both"/>
        <w:rPr>
          <w:rFonts w:ascii="Times New Roman" w:eastAsia="新細明體" w:hAnsi="Times New Roman"/>
          <w:kern w:val="2"/>
          <w:sz w:val="20"/>
          <w:szCs w:val="20"/>
        </w:rPr>
      </w:pPr>
    </w:p>
    <w:tbl>
      <w:tblPr>
        <w:tblStyle w:val="14"/>
        <w:tblW w:w="9634" w:type="dxa"/>
        <w:tblLook w:val="04A0" w:firstRow="1" w:lastRow="0" w:firstColumn="1" w:lastColumn="0" w:noHBand="0" w:noVBand="1"/>
      </w:tblPr>
      <w:tblGrid>
        <w:gridCol w:w="9634"/>
      </w:tblGrid>
      <w:tr w:rsidR="002E43BF" w:rsidRPr="002E43BF" w14:paraId="5D49F58D" w14:textId="77777777" w:rsidTr="00D526BD">
        <w:tc>
          <w:tcPr>
            <w:tcW w:w="9634" w:type="dxa"/>
          </w:tcPr>
          <w:p w14:paraId="67483D73" w14:textId="050824CF" w:rsidR="002E43BF" w:rsidRPr="002E43BF" w:rsidRDefault="002E43BF" w:rsidP="002E43BF">
            <w:pPr>
              <w:widowControl w:val="0"/>
              <w:adjustRightInd w:val="0"/>
              <w:snapToGrid w:val="0"/>
              <w:jc w:val="both"/>
              <w:rPr>
                <w:rFonts w:ascii="Arial" w:eastAsia="Times New Roman" w:hAnsi="Arial"/>
                <w:b/>
                <w:i/>
                <w:sz w:val="18"/>
                <w:lang w:val="en-GB" w:eastAsia="ko-KR"/>
              </w:rPr>
            </w:pPr>
            <w:r w:rsidRPr="002E43BF">
              <w:rPr>
                <w:rFonts w:ascii="Arial" w:eastAsia="Times New Roman" w:hAnsi="Arial"/>
                <w:b/>
                <w:i/>
                <w:sz w:val="18"/>
                <w:lang w:val="en-GB" w:eastAsia="ko-KR"/>
              </w:rPr>
              <w:t>eventForCHO</w:t>
            </w:r>
          </w:p>
          <w:p w14:paraId="596A479B" w14:textId="28BBC8F8" w:rsidR="002E43BF" w:rsidRPr="002E43BF" w:rsidRDefault="002E43BF" w:rsidP="00796E14">
            <w:pPr>
              <w:widowControl w:val="0"/>
              <w:adjustRightInd w:val="0"/>
              <w:snapToGrid w:val="0"/>
              <w:jc w:val="both"/>
              <w:rPr>
                <w:rFonts w:ascii="Times New Roman" w:eastAsia="新細明體" w:hAnsi="Times New Roman"/>
                <w:sz w:val="20"/>
                <w:szCs w:val="20"/>
              </w:rPr>
            </w:pPr>
            <w:r w:rsidRPr="002E43BF">
              <w:rPr>
                <w:rFonts w:ascii="Times New Roman" w:eastAsia="新細明體" w:hAnsi="Times New Roman"/>
                <w:sz w:val="20"/>
                <w:lang w:val="en-GB" w:eastAsia="ko-KR"/>
              </w:rPr>
              <w:t>Indicates whether the event is configured for the purpose of reporting CHO candidate cells. If set, a measurement report is initiated only if triggering cell is not included in the CHO candidate cell list</w:t>
            </w:r>
            <w:r>
              <w:rPr>
                <w:rFonts w:ascii="Times New Roman" w:eastAsia="新細明體" w:hAnsi="Times New Roman"/>
                <w:sz w:val="20"/>
                <w:lang w:val="en-GB" w:eastAsia="ko-KR"/>
              </w:rPr>
              <w:t>, and the</w:t>
            </w:r>
            <w:r w:rsidR="00796E14">
              <w:rPr>
                <w:rFonts w:ascii="Times New Roman" w:eastAsia="新細明體" w:hAnsi="Times New Roman"/>
                <w:sz w:val="20"/>
                <w:lang w:val="en-GB" w:eastAsia="ko-KR"/>
              </w:rPr>
              <w:t xml:space="preserve"> n-th best cell</w:t>
            </w:r>
            <w:r>
              <w:rPr>
                <w:rFonts w:ascii="Times New Roman" w:eastAsia="新細明體" w:hAnsi="Times New Roman"/>
                <w:sz w:val="20"/>
                <w:lang w:val="en-GB" w:eastAsia="ko-KR"/>
              </w:rPr>
              <w:t xml:space="preserve"> in the CHO candidate cell list is</w:t>
            </w:r>
            <w:r w:rsidR="00796E14">
              <w:rPr>
                <w:rFonts w:ascii="Times New Roman" w:eastAsia="新細明體" w:hAnsi="Times New Roman"/>
                <w:sz w:val="20"/>
                <w:lang w:val="en-GB" w:eastAsia="ko-KR"/>
              </w:rPr>
              <w:t xml:space="preserve"> no</w:t>
            </w:r>
            <w:r>
              <w:rPr>
                <w:rFonts w:ascii="Times New Roman" w:eastAsia="新細明體" w:hAnsi="Times New Roman"/>
                <w:sz w:val="20"/>
                <w:lang w:val="en-GB" w:eastAsia="ko-KR"/>
              </w:rPr>
              <w:t xml:space="preserve"> better than the </w:t>
            </w:r>
            <w:r w:rsidR="000501D3">
              <w:rPr>
                <w:rFonts w:ascii="Times New Roman" w:eastAsia="新細明體" w:hAnsi="Times New Roman"/>
                <w:sz w:val="20"/>
                <w:lang w:val="en-GB" w:eastAsia="ko-KR"/>
              </w:rPr>
              <w:t xml:space="preserve">report </w:t>
            </w:r>
            <w:r>
              <w:rPr>
                <w:rFonts w:ascii="Times New Roman" w:eastAsia="新細明體" w:hAnsi="Times New Roman"/>
                <w:sz w:val="20"/>
                <w:lang w:val="en-GB" w:eastAsia="ko-KR"/>
              </w:rPr>
              <w:t>triggering cell.</w:t>
            </w:r>
          </w:p>
        </w:tc>
      </w:tr>
    </w:tbl>
    <w:p w14:paraId="1AAFC2C7" w14:textId="77777777" w:rsidR="002E43BF" w:rsidRPr="00785DB1" w:rsidRDefault="002E43BF" w:rsidP="00D10D0E">
      <w:pPr>
        <w:spacing w:after="120"/>
        <w:jc w:val="both"/>
        <w:rPr>
          <w:rFonts w:ascii="Arial" w:hAnsi="Arial" w:cs="Arial"/>
          <w:sz w:val="20"/>
          <w:szCs w:val="20"/>
          <w:lang w:val="en-GB" w:eastAsia="ja-JP"/>
        </w:rPr>
      </w:pPr>
    </w:p>
    <w:p w14:paraId="4BF024F4" w14:textId="1B779ECF" w:rsidR="00AB068B" w:rsidRPr="00AB068B" w:rsidRDefault="00AB068B" w:rsidP="00AB068B">
      <w:pPr>
        <w:spacing w:after="120"/>
        <w:ind w:left="1440" w:hanging="1440"/>
        <w:rPr>
          <w:rFonts w:ascii="Arial" w:hAnsi="Arial" w:cs="Arial"/>
          <w:b/>
          <w:sz w:val="20"/>
          <w:szCs w:val="20"/>
          <w:lang w:val="en-GB" w:eastAsia="ja-JP"/>
        </w:rPr>
      </w:pPr>
      <w:r w:rsidRPr="00AB068B">
        <w:rPr>
          <w:rFonts w:ascii="Arial" w:hAnsi="Arial" w:cs="Arial"/>
          <w:b/>
          <w:sz w:val="20"/>
          <w:szCs w:val="20"/>
          <w:lang w:val="en-GB" w:eastAsia="ja-JP"/>
        </w:rPr>
        <w:t>Proposal 3:</w:t>
      </w:r>
      <w:r w:rsidRPr="00AB068B">
        <w:rPr>
          <w:rFonts w:ascii="Arial" w:hAnsi="Arial" w:cs="Arial"/>
          <w:b/>
          <w:sz w:val="20"/>
          <w:szCs w:val="20"/>
          <w:lang w:val="en-GB" w:eastAsia="ja-JP"/>
        </w:rPr>
        <w:tab/>
        <w:t>The “event for CHO” indicator is associated with the configuration of a measurement event</w:t>
      </w:r>
      <w:r>
        <w:rPr>
          <w:rFonts w:ascii="Arial" w:hAnsi="Arial" w:cs="Arial"/>
          <w:b/>
          <w:sz w:val="20"/>
          <w:szCs w:val="20"/>
          <w:lang w:val="en-GB" w:eastAsia="ja-JP"/>
        </w:rPr>
        <w:t xml:space="preserve"> related to CHO candidate reporting.</w:t>
      </w:r>
    </w:p>
    <w:p w14:paraId="42847598" w14:textId="78E8754F" w:rsidR="00785DB1" w:rsidRPr="00785DB1" w:rsidRDefault="00B879E1" w:rsidP="00785DB1">
      <w:pPr>
        <w:spacing w:after="120"/>
        <w:rPr>
          <w:rFonts w:ascii="Arial" w:hAnsi="Arial" w:cs="Arial"/>
          <w:sz w:val="20"/>
          <w:szCs w:val="20"/>
        </w:rPr>
      </w:pPr>
      <w:r>
        <w:rPr>
          <w:rFonts w:ascii="Arial" w:hAnsi="Arial" w:cs="Arial"/>
          <w:sz w:val="20"/>
          <w:szCs w:val="20"/>
          <w:lang w:val="en-GB" w:eastAsia="ja-JP"/>
        </w:rPr>
        <w:t>Figure</w:t>
      </w:r>
      <w:r w:rsidR="00785DB1" w:rsidRPr="00785DB1">
        <w:rPr>
          <w:rFonts w:ascii="Arial" w:hAnsi="Arial" w:cs="Arial"/>
          <w:sz w:val="20"/>
          <w:szCs w:val="20"/>
          <w:lang w:val="en-GB" w:eastAsia="ja-JP"/>
        </w:rPr>
        <w:t xml:space="preserve"> 2</w:t>
      </w:r>
      <w:r w:rsidR="002E43BF" w:rsidRPr="00785DB1">
        <w:rPr>
          <w:rFonts w:ascii="Arial" w:hAnsi="Arial" w:cs="Arial"/>
          <w:sz w:val="20"/>
          <w:szCs w:val="20"/>
          <w:lang w:val="en-GB" w:eastAsia="ja-JP"/>
        </w:rPr>
        <w:t xml:space="preserve"> shows the flowchart for measurement reporting when </w:t>
      </w:r>
      <w:r w:rsidR="00785DB1" w:rsidRPr="00785DB1">
        <w:rPr>
          <w:rFonts w:ascii="Arial" w:hAnsi="Arial" w:cs="Arial"/>
          <w:sz w:val="20"/>
          <w:szCs w:val="20"/>
          <w:lang w:val="en-GB" w:eastAsia="ja-JP"/>
        </w:rPr>
        <w:t xml:space="preserve">the </w:t>
      </w:r>
      <w:r w:rsidR="00785DB1" w:rsidRPr="00785DB1">
        <w:rPr>
          <w:rFonts w:ascii="Arial" w:hAnsi="Arial" w:cs="Arial"/>
          <w:i/>
          <w:sz w:val="20"/>
          <w:szCs w:val="20"/>
          <w:lang w:val="en-GB" w:eastAsia="ja-JP"/>
        </w:rPr>
        <w:t>eventForCHO</w:t>
      </w:r>
      <w:r w:rsidR="00785DB1" w:rsidRPr="00785DB1">
        <w:rPr>
          <w:rFonts w:ascii="Arial" w:hAnsi="Arial" w:cs="Arial"/>
          <w:sz w:val="20"/>
          <w:szCs w:val="20"/>
          <w:lang w:val="en-GB" w:eastAsia="ja-JP"/>
        </w:rPr>
        <w:t xml:space="preserve"> indicator is introduced. </w:t>
      </w:r>
      <w:r w:rsidR="00785DB1">
        <w:rPr>
          <w:rFonts w:ascii="Arial" w:hAnsi="Arial" w:cs="Arial"/>
          <w:sz w:val="20"/>
          <w:szCs w:val="20"/>
          <w:lang w:val="en-GB" w:eastAsia="ja-JP"/>
        </w:rPr>
        <w:t xml:space="preserve">Three </w:t>
      </w:r>
      <w:r w:rsidR="00785DB1" w:rsidRPr="00785DB1">
        <w:rPr>
          <w:rFonts w:ascii="Arial" w:hAnsi="Arial" w:cs="Arial"/>
          <w:sz w:val="20"/>
          <w:szCs w:val="20"/>
        </w:rPr>
        <w:t>cases are covered in the flowchart:</w:t>
      </w:r>
    </w:p>
    <w:p w14:paraId="6EA00D60" w14:textId="21E59F7F" w:rsidR="00785DB1" w:rsidRPr="00785DB1" w:rsidRDefault="00785DB1" w:rsidP="00785DB1">
      <w:pPr>
        <w:spacing w:after="120"/>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w:instrText>
      </w:r>
      <w:r>
        <w:rPr>
          <w:rFonts w:ascii="Arial" w:hAnsi="Arial" w:cs="Arial" w:hint="eastAsia"/>
          <w:sz w:val="20"/>
          <w:szCs w:val="20"/>
        </w:rPr>
        <w:instrText>eq \o\ac(</w:instrText>
      </w:r>
      <w:r>
        <w:rPr>
          <w:rFonts w:ascii="Arial" w:hAnsi="Arial" w:cs="Arial" w:hint="eastAsia"/>
          <w:sz w:val="20"/>
          <w:szCs w:val="20"/>
        </w:rPr>
        <w:instrText>○</w:instrText>
      </w:r>
      <w:r>
        <w:rPr>
          <w:rFonts w:ascii="Arial" w:hAnsi="Arial" w:cs="Arial" w:hint="eastAsia"/>
          <w:sz w:val="20"/>
          <w:szCs w:val="20"/>
        </w:rPr>
        <w:instrText>,</w:instrText>
      </w:r>
      <w:r w:rsidRPr="00785DB1">
        <w:rPr>
          <w:rFonts w:ascii="Arial" w:hAnsi="Arial" w:cs="Arial" w:hint="eastAsia"/>
          <w:position w:val="2"/>
          <w:sz w:val="14"/>
          <w:szCs w:val="20"/>
        </w:rPr>
        <w:instrText>1</w:instrText>
      </w:r>
      <w:r>
        <w:rPr>
          <w:rFonts w:ascii="Arial" w:hAnsi="Arial" w:cs="Arial" w:hint="eastAsia"/>
          <w:sz w:val="20"/>
          <w:szCs w:val="20"/>
        </w:rPr>
        <w:instrText>)</w:instrText>
      </w:r>
      <w:r>
        <w:rPr>
          <w:rFonts w:ascii="Arial" w:hAnsi="Arial" w:cs="Arial"/>
          <w:sz w:val="20"/>
          <w:szCs w:val="20"/>
        </w:rPr>
        <w:fldChar w:fldCharType="end"/>
      </w:r>
      <w:r>
        <w:rPr>
          <w:rFonts w:ascii="Arial" w:hAnsi="Arial" w:cs="Arial"/>
          <w:sz w:val="20"/>
          <w:szCs w:val="20"/>
        </w:rPr>
        <w:t xml:space="preserve"> </w:t>
      </w:r>
      <w:r w:rsidRPr="00785DB1">
        <w:rPr>
          <w:rFonts w:ascii="Arial" w:hAnsi="Arial" w:cs="Arial"/>
          <w:sz w:val="20"/>
          <w:szCs w:val="20"/>
        </w:rPr>
        <w:t xml:space="preserve">The cell is added to </w:t>
      </w:r>
      <w:r w:rsidRPr="00785DB1">
        <w:rPr>
          <w:rFonts w:ascii="Arial" w:hAnsi="Arial" w:cs="Arial"/>
          <w:i/>
          <w:sz w:val="20"/>
          <w:szCs w:val="20"/>
        </w:rPr>
        <w:t>cellsTriggeredList</w:t>
      </w:r>
      <w:r w:rsidRPr="00785DB1">
        <w:rPr>
          <w:rFonts w:ascii="Arial" w:hAnsi="Arial" w:cs="Arial"/>
          <w:sz w:val="20"/>
          <w:szCs w:val="20"/>
        </w:rPr>
        <w:t>, and measurement report is sent: This happens when the indicators are set, or when the indicator is set but none of the measurement report reduction rules is not applicable.</w:t>
      </w:r>
    </w:p>
    <w:p w14:paraId="0D2E0ED2" w14:textId="0CAC15E1" w:rsidR="00785DB1" w:rsidRPr="00785DB1" w:rsidRDefault="00785DB1" w:rsidP="00785DB1">
      <w:pPr>
        <w:spacing w:after="120"/>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w:instrText>
      </w:r>
      <w:r>
        <w:rPr>
          <w:rFonts w:ascii="Arial" w:hAnsi="Arial" w:cs="Arial" w:hint="eastAsia"/>
          <w:sz w:val="20"/>
          <w:szCs w:val="20"/>
        </w:rPr>
        <w:instrText>eq \o\ac(</w:instrText>
      </w:r>
      <w:r>
        <w:rPr>
          <w:rFonts w:ascii="Arial" w:hAnsi="Arial" w:cs="Arial" w:hint="eastAsia"/>
          <w:sz w:val="20"/>
          <w:szCs w:val="20"/>
        </w:rPr>
        <w:instrText>○</w:instrText>
      </w:r>
      <w:r>
        <w:rPr>
          <w:rFonts w:ascii="Arial" w:hAnsi="Arial" w:cs="Arial" w:hint="eastAsia"/>
          <w:sz w:val="20"/>
          <w:szCs w:val="20"/>
        </w:rPr>
        <w:instrText>,</w:instrText>
      </w:r>
      <w:r w:rsidRPr="00785DB1">
        <w:rPr>
          <w:rFonts w:ascii="Arial" w:hAnsi="Arial" w:cs="Arial" w:hint="eastAsia"/>
          <w:position w:val="2"/>
          <w:sz w:val="14"/>
          <w:szCs w:val="20"/>
        </w:rPr>
        <w:instrText>2</w:instrText>
      </w:r>
      <w:r>
        <w:rPr>
          <w:rFonts w:ascii="Arial" w:hAnsi="Arial" w:cs="Arial" w:hint="eastAsia"/>
          <w:sz w:val="20"/>
          <w:szCs w:val="20"/>
        </w:rPr>
        <w:instrText>)</w:instrText>
      </w:r>
      <w:r>
        <w:rPr>
          <w:rFonts w:ascii="Arial" w:hAnsi="Arial" w:cs="Arial"/>
          <w:sz w:val="20"/>
          <w:szCs w:val="20"/>
        </w:rPr>
        <w:fldChar w:fldCharType="end"/>
      </w:r>
      <w:r>
        <w:rPr>
          <w:rFonts w:ascii="Arial" w:hAnsi="Arial" w:cs="Arial"/>
          <w:sz w:val="20"/>
          <w:szCs w:val="20"/>
        </w:rPr>
        <w:t xml:space="preserve"> </w:t>
      </w:r>
      <w:r w:rsidRPr="00785DB1">
        <w:rPr>
          <w:rFonts w:ascii="Arial" w:hAnsi="Arial" w:cs="Arial"/>
          <w:sz w:val="20"/>
          <w:szCs w:val="20"/>
        </w:rPr>
        <w:t xml:space="preserve">The cell is added to </w:t>
      </w:r>
      <w:r w:rsidRPr="00785DB1">
        <w:rPr>
          <w:rFonts w:ascii="Arial" w:hAnsi="Arial" w:cs="Arial"/>
          <w:i/>
          <w:sz w:val="20"/>
          <w:szCs w:val="20"/>
        </w:rPr>
        <w:t>cellsTriggeredList</w:t>
      </w:r>
      <w:r w:rsidRPr="00785DB1">
        <w:rPr>
          <w:rFonts w:ascii="Arial" w:hAnsi="Arial" w:cs="Arial"/>
          <w:sz w:val="20"/>
          <w:szCs w:val="20"/>
        </w:rPr>
        <w:t>, but measurement report is not sent: This happens when the indicator is set and at least one of the measurement report reduction rules is applicable, but the triggering cell is already in CHO candidate list.</w:t>
      </w:r>
    </w:p>
    <w:p w14:paraId="3AFB33FB" w14:textId="0E432438" w:rsidR="00785DB1" w:rsidRPr="00785DB1" w:rsidRDefault="00785DB1" w:rsidP="00785DB1">
      <w:pPr>
        <w:spacing w:after="120"/>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w:instrText>
      </w:r>
      <w:r>
        <w:rPr>
          <w:rFonts w:ascii="Arial" w:hAnsi="Arial" w:cs="Arial" w:hint="eastAsia"/>
          <w:sz w:val="20"/>
          <w:szCs w:val="20"/>
        </w:rPr>
        <w:instrText>eq \o\ac(</w:instrText>
      </w:r>
      <w:r>
        <w:rPr>
          <w:rFonts w:ascii="Arial" w:hAnsi="Arial" w:cs="Arial" w:hint="eastAsia"/>
          <w:sz w:val="20"/>
          <w:szCs w:val="20"/>
        </w:rPr>
        <w:instrText>○</w:instrText>
      </w:r>
      <w:r>
        <w:rPr>
          <w:rFonts w:ascii="Arial" w:hAnsi="Arial" w:cs="Arial" w:hint="eastAsia"/>
          <w:sz w:val="20"/>
          <w:szCs w:val="20"/>
        </w:rPr>
        <w:instrText>,</w:instrText>
      </w:r>
      <w:r w:rsidRPr="00785DB1">
        <w:rPr>
          <w:rFonts w:ascii="Arial" w:hAnsi="Arial" w:cs="Arial" w:hint="eastAsia"/>
          <w:position w:val="2"/>
          <w:sz w:val="14"/>
          <w:szCs w:val="20"/>
        </w:rPr>
        <w:instrText>3</w:instrText>
      </w:r>
      <w:r>
        <w:rPr>
          <w:rFonts w:ascii="Arial" w:hAnsi="Arial" w:cs="Arial" w:hint="eastAsia"/>
          <w:sz w:val="20"/>
          <w:szCs w:val="20"/>
        </w:rPr>
        <w:instrText>)</w:instrText>
      </w:r>
      <w:r>
        <w:rPr>
          <w:rFonts w:ascii="Arial" w:hAnsi="Arial" w:cs="Arial"/>
          <w:sz w:val="20"/>
          <w:szCs w:val="20"/>
        </w:rPr>
        <w:fldChar w:fldCharType="end"/>
      </w:r>
      <w:r>
        <w:rPr>
          <w:rFonts w:ascii="Arial" w:hAnsi="Arial" w:cs="Arial"/>
          <w:sz w:val="20"/>
          <w:szCs w:val="20"/>
        </w:rPr>
        <w:t xml:space="preserve"> </w:t>
      </w:r>
      <w:r w:rsidRPr="00785DB1">
        <w:rPr>
          <w:rFonts w:ascii="Arial" w:hAnsi="Arial" w:cs="Arial"/>
          <w:sz w:val="20"/>
          <w:szCs w:val="20"/>
        </w:rPr>
        <w:t xml:space="preserve">The cell is not added to </w:t>
      </w:r>
      <w:r w:rsidRPr="00785DB1">
        <w:rPr>
          <w:rFonts w:ascii="Arial" w:hAnsi="Arial" w:cs="Arial"/>
          <w:i/>
          <w:sz w:val="20"/>
          <w:szCs w:val="20"/>
        </w:rPr>
        <w:t>cellsTriggeredList</w:t>
      </w:r>
      <w:r w:rsidRPr="00785DB1">
        <w:rPr>
          <w:rFonts w:ascii="Arial" w:hAnsi="Arial" w:cs="Arial"/>
          <w:sz w:val="20"/>
          <w:szCs w:val="20"/>
        </w:rPr>
        <w:t>, and measurement report is not sent: This happens when the indicator is set and at least one of the measurement report reduction rules is applicable, and the triggering cell is not in CHO candidate list.</w:t>
      </w:r>
    </w:p>
    <w:p w14:paraId="0077F43E" w14:textId="6B088FE0" w:rsidR="002E43BF" w:rsidRPr="00785DB1" w:rsidRDefault="002E43BF" w:rsidP="002E43BF">
      <w:pPr>
        <w:rPr>
          <w:rFonts w:ascii="Arial" w:hAnsi="Arial" w:cs="Arial"/>
          <w:sz w:val="20"/>
          <w:szCs w:val="20"/>
          <w:lang w:val="en-GB" w:eastAsia="ja-JP"/>
        </w:rPr>
      </w:pPr>
    </w:p>
    <w:p w14:paraId="14E19BB5" w14:textId="77777777" w:rsidR="002E43BF" w:rsidRDefault="002E43BF" w:rsidP="002E43BF">
      <w:pPr>
        <w:rPr>
          <w:szCs w:val="20"/>
        </w:rPr>
      </w:pPr>
    </w:p>
    <w:p w14:paraId="2E1F368A" w14:textId="5C3BB839" w:rsidR="002E43BF" w:rsidRDefault="008D40B7" w:rsidP="002E43BF">
      <w:pPr>
        <w:jc w:val="center"/>
      </w:pPr>
      <w:r>
        <w:object w:dxaOrig="9126" w:dyaOrig="7267" w14:anchorId="6EB621CD">
          <v:shape id="_x0000_i1026" type="#_x0000_t75" style="width:456.3pt;height:363.55pt" o:ole="">
            <v:imagedata r:id="rId13" o:title=""/>
          </v:shape>
          <o:OLEObject Type="Embed" ProgID="Visio.Drawing.11" ShapeID="_x0000_i1026" DrawAspect="Content" ObjectID="_1631618380" r:id="rId14"/>
        </w:object>
      </w:r>
    </w:p>
    <w:p w14:paraId="3F546610" w14:textId="4E93B1EC" w:rsidR="002E43BF" w:rsidRPr="00A844B1" w:rsidRDefault="00785DB1" w:rsidP="00A844B1">
      <w:pPr>
        <w:spacing w:before="120" w:after="120"/>
        <w:jc w:val="center"/>
        <w:rPr>
          <w:rFonts w:ascii="Arial" w:hAnsi="Arial" w:cs="Arial"/>
          <w:b/>
          <w:sz w:val="20"/>
          <w:szCs w:val="20"/>
          <w:lang w:val="en-GB"/>
        </w:rPr>
      </w:pPr>
      <w:r w:rsidRPr="00A844B1">
        <w:rPr>
          <w:rFonts w:ascii="Arial" w:hAnsi="Arial" w:cs="Arial"/>
          <w:b/>
          <w:sz w:val="20"/>
          <w:szCs w:val="20"/>
          <w:lang w:val="en-GB"/>
        </w:rPr>
        <w:t xml:space="preserve">Figure 2. Flowchart when </w:t>
      </w:r>
      <w:r w:rsidR="00A844B1" w:rsidRPr="00A844B1">
        <w:rPr>
          <w:rFonts w:ascii="Arial" w:hAnsi="Arial" w:cs="Arial"/>
          <w:b/>
          <w:i/>
          <w:sz w:val="20"/>
          <w:szCs w:val="20"/>
          <w:lang w:val="en-GB"/>
        </w:rPr>
        <w:t>e</w:t>
      </w:r>
      <w:r w:rsidR="00A844B1">
        <w:rPr>
          <w:rFonts w:ascii="Arial" w:hAnsi="Arial" w:cs="Arial"/>
          <w:b/>
          <w:i/>
          <w:sz w:val="20"/>
          <w:szCs w:val="20"/>
          <w:lang w:val="en-GB"/>
        </w:rPr>
        <w:t>vent</w:t>
      </w:r>
      <w:r w:rsidR="00252014">
        <w:rPr>
          <w:rFonts w:ascii="Arial" w:hAnsi="Arial" w:cs="Arial"/>
          <w:b/>
          <w:i/>
          <w:sz w:val="20"/>
          <w:szCs w:val="20"/>
          <w:lang w:val="en-GB"/>
        </w:rPr>
        <w:t>F</w:t>
      </w:r>
      <w:r w:rsidR="00A844B1" w:rsidRPr="00A844B1">
        <w:rPr>
          <w:rFonts w:ascii="Arial" w:hAnsi="Arial" w:cs="Arial"/>
          <w:b/>
          <w:i/>
          <w:sz w:val="20"/>
          <w:szCs w:val="20"/>
          <w:lang w:val="en-GB"/>
        </w:rPr>
        <w:t>orCHO</w:t>
      </w:r>
      <w:r w:rsidR="00A844B1">
        <w:rPr>
          <w:rFonts w:ascii="Arial" w:hAnsi="Arial" w:cs="Arial"/>
          <w:b/>
          <w:sz w:val="20"/>
          <w:szCs w:val="20"/>
          <w:lang w:val="en-GB"/>
        </w:rPr>
        <w:t xml:space="preserve"> indicator is introduced</w:t>
      </w:r>
    </w:p>
    <w:p w14:paraId="298969FF" w14:textId="54C8C71F" w:rsidR="002E43BF" w:rsidRDefault="002E43BF" w:rsidP="009B3997">
      <w:pPr>
        <w:pStyle w:val="2"/>
      </w:pPr>
      <w:r>
        <w:t>Measurement reporting with beam-level information</w:t>
      </w:r>
    </w:p>
    <w:p w14:paraId="780D06C5" w14:textId="5C8DE536" w:rsidR="00D10D0E" w:rsidRPr="007E063A" w:rsidRDefault="002E43BF" w:rsidP="00D10D0E">
      <w:pPr>
        <w:spacing w:after="120"/>
        <w:jc w:val="both"/>
        <w:rPr>
          <w:rFonts w:ascii="Arial" w:hAnsi="Arial" w:cs="Arial"/>
          <w:sz w:val="20"/>
          <w:szCs w:val="20"/>
          <w:lang w:val="en-GB" w:eastAsia="ja-JP"/>
        </w:rPr>
      </w:pPr>
      <w:r>
        <w:rPr>
          <w:rFonts w:ascii="Arial" w:hAnsi="Arial" w:cs="Arial"/>
          <w:sz w:val="20"/>
          <w:szCs w:val="20"/>
          <w:lang w:val="en-GB" w:eastAsia="ja-JP"/>
        </w:rPr>
        <w:t xml:space="preserve">Even </w:t>
      </w:r>
      <w:r w:rsidR="00864D02">
        <w:rPr>
          <w:rFonts w:ascii="Arial" w:hAnsi="Arial" w:cs="Arial"/>
          <w:sz w:val="20"/>
          <w:szCs w:val="20"/>
          <w:lang w:val="en-GB" w:eastAsia="ja-JP"/>
        </w:rPr>
        <w:t xml:space="preserve">if </w:t>
      </w:r>
      <w:r>
        <w:rPr>
          <w:rFonts w:ascii="Arial" w:hAnsi="Arial" w:cs="Arial"/>
          <w:sz w:val="20"/>
          <w:szCs w:val="20"/>
          <w:lang w:val="en-GB" w:eastAsia="ja-JP"/>
        </w:rPr>
        <w:t>a candidate cell is reported, it may eventually not be used by the UE.</w:t>
      </w:r>
      <w:r w:rsidR="00864D02">
        <w:rPr>
          <w:rFonts w:ascii="Arial" w:hAnsi="Arial" w:cs="Arial"/>
          <w:sz w:val="20"/>
          <w:szCs w:val="20"/>
          <w:lang w:val="en-GB" w:eastAsia="ja-JP"/>
        </w:rPr>
        <w:t xml:space="preserve"> The configuration of such candidate cells introduces RRC signalling overheads as well as resource occupancy on the candidate cell (e.g. for dedicated PRACH).</w:t>
      </w:r>
      <w:r>
        <w:rPr>
          <w:rFonts w:ascii="Arial" w:hAnsi="Arial" w:cs="Arial"/>
          <w:sz w:val="20"/>
          <w:szCs w:val="20"/>
          <w:lang w:val="en-GB" w:eastAsia="ja-JP"/>
        </w:rPr>
        <w:t xml:space="preserve"> If the network can have more information about a reported cell, </w:t>
      </w:r>
      <w:r w:rsidR="004865CF">
        <w:rPr>
          <w:rFonts w:ascii="Arial" w:hAnsi="Arial" w:cs="Arial"/>
          <w:sz w:val="20"/>
          <w:szCs w:val="20"/>
          <w:lang w:val="en-GB" w:eastAsia="ja-JP"/>
        </w:rPr>
        <w:t>it can make more precise decision on whether to</w:t>
      </w:r>
      <w:r>
        <w:rPr>
          <w:rFonts w:ascii="Arial" w:hAnsi="Arial" w:cs="Arial"/>
          <w:sz w:val="20"/>
          <w:szCs w:val="20"/>
          <w:lang w:val="en-GB" w:eastAsia="ja-JP"/>
        </w:rPr>
        <w:t xml:space="preserve"> configure a cell as CHO candidate. B</w:t>
      </w:r>
      <w:r w:rsidR="00D10D0E" w:rsidRPr="007E063A">
        <w:rPr>
          <w:rFonts w:ascii="Arial" w:hAnsi="Arial" w:cs="Arial"/>
          <w:sz w:val="20"/>
          <w:szCs w:val="20"/>
          <w:lang w:val="en-GB" w:eastAsia="ja-JP"/>
        </w:rPr>
        <w:t>eam-level information</w:t>
      </w:r>
      <w:r w:rsidR="00CE4D4B">
        <w:rPr>
          <w:rFonts w:ascii="Arial" w:hAnsi="Arial" w:cs="Arial"/>
          <w:sz w:val="20"/>
          <w:szCs w:val="20"/>
          <w:lang w:val="en-GB" w:eastAsia="ja-JP"/>
        </w:rPr>
        <w:t xml:space="preserve"> can help avoid adding </w:t>
      </w:r>
      <w:r w:rsidR="00D10D0E" w:rsidRPr="007E063A">
        <w:rPr>
          <w:rFonts w:ascii="Arial" w:hAnsi="Arial" w:cs="Arial"/>
          <w:sz w:val="20"/>
          <w:szCs w:val="20"/>
          <w:lang w:val="en-GB" w:eastAsia="ja-JP"/>
        </w:rPr>
        <w:t>candidate cell</w:t>
      </w:r>
      <w:r w:rsidR="00CE4D4B">
        <w:rPr>
          <w:rFonts w:ascii="Arial" w:hAnsi="Arial" w:cs="Arial"/>
          <w:sz w:val="20"/>
          <w:szCs w:val="20"/>
          <w:lang w:val="en-GB" w:eastAsia="ja-JP"/>
        </w:rPr>
        <w:t>s that are eventually not used</w:t>
      </w:r>
      <w:r w:rsidR="00D10D0E" w:rsidRPr="007E063A">
        <w:rPr>
          <w:rFonts w:ascii="Arial" w:hAnsi="Arial" w:cs="Arial"/>
          <w:sz w:val="20"/>
          <w:szCs w:val="20"/>
          <w:lang w:val="en-GB" w:eastAsia="ja-JP"/>
        </w:rPr>
        <w:t>. For example, the network may require a candidate cell to have not only the best beam above threshold, but also have at least a given number of beams above a threshold (i.e., ‘good’ beams). This can be achieved by either (1) including beam-related condition in the trigger conditions of measurement event for CHO, or (2) network requesting the UE to report beam-level measurements, and decide whether a reported cell should be configured as CHO candidate based on proprietary methods. To save the effort of defining new measurement events, we suggest that measurement events be defined based on cell quality, but UE may be requested to include beam-level measurements.</w:t>
      </w:r>
    </w:p>
    <w:p w14:paraId="756C0DDC" w14:textId="379A78AE" w:rsidR="00482FC9" w:rsidRPr="007E063A" w:rsidRDefault="00D10D0E" w:rsidP="004B39DE">
      <w:pPr>
        <w:spacing w:after="120"/>
        <w:jc w:val="both"/>
        <w:rPr>
          <w:rFonts w:ascii="Arial" w:hAnsi="Arial" w:cs="Arial"/>
          <w:b/>
          <w:sz w:val="20"/>
          <w:szCs w:val="20"/>
          <w:lang w:val="en-GB" w:eastAsia="ja-JP"/>
        </w:rPr>
      </w:pPr>
      <w:r w:rsidRPr="007E063A">
        <w:rPr>
          <w:rFonts w:ascii="Arial" w:hAnsi="Arial" w:cs="Arial"/>
          <w:b/>
          <w:sz w:val="20"/>
          <w:szCs w:val="20"/>
          <w:lang w:val="en-GB" w:eastAsia="ja-JP"/>
        </w:rPr>
        <w:t xml:space="preserve">Proposal </w:t>
      </w:r>
      <w:r w:rsidR="008458CB">
        <w:rPr>
          <w:rFonts w:ascii="Arial" w:hAnsi="Arial" w:cs="Arial"/>
          <w:b/>
          <w:sz w:val="20"/>
          <w:szCs w:val="20"/>
          <w:lang w:val="en-GB" w:eastAsia="ja-JP"/>
        </w:rPr>
        <w:t>4</w:t>
      </w:r>
      <w:r w:rsidRPr="007E063A">
        <w:rPr>
          <w:rFonts w:ascii="Arial" w:hAnsi="Arial" w:cs="Arial"/>
          <w:b/>
          <w:sz w:val="20"/>
          <w:szCs w:val="20"/>
          <w:lang w:val="en-GB" w:eastAsia="ja-JP"/>
        </w:rPr>
        <w:t>:</w:t>
      </w:r>
      <w:r w:rsidRPr="007E063A">
        <w:rPr>
          <w:rFonts w:ascii="Arial" w:hAnsi="Arial" w:cs="Arial"/>
          <w:b/>
          <w:sz w:val="20"/>
          <w:szCs w:val="20"/>
          <w:lang w:val="en-GB" w:eastAsia="ja-JP"/>
        </w:rPr>
        <w:tab/>
        <w:t xml:space="preserve">Measurement reports for CHO candidates may include </w:t>
      </w:r>
      <w:r w:rsidRPr="006817B8">
        <w:rPr>
          <w:rFonts w:ascii="Arial" w:hAnsi="Arial" w:cs="Arial"/>
          <w:b/>
          <w:sz w:val="20"/>
          <w:szCs w:val="20"/>
          <w:lang w:val="en-GB" w:eastAsia="ja-JP"/>
        </w:rPr>
        <w:t>beam-level measurements</w:t>
      </w:r>
      <w:r>
        <w:rPr>
          <w:rFonts w:ascii="Arial" w:hAnsi="Arial" w:cs="Arial"/>
          <w:b/>
          <w:sz w:val="20"/>
          <w:szCs w:val="20"/>
          <w:lang w:val="en-GB" w:eastAsia="ja-JP"/>
        </w:rPr>
        <w:t>.</w:t>
      </w:r>
    </w:p>
    <w:p w14:paraId="0E35054B" w14:textId="784E582A" w:rsidR="00A07E02" w:rsidRPr="007E063A" w:rsidRDefault="00A07E02" w:rsidP="000E3C08">
      <w:pPr>
        <w:pStyle w:val="1"/>
        <w:overflowPunct w:val="0"/>
        <w:autoSpaceDE w:val="0"/>
        <w:autoSpaceDN w:val="0"/>
        <w:adjustRightInd w:val="0"/>
        <w:rPr>
          <w:rFonts w:eastAsia="新細明體" w:cs="Arial"/>
        </w:rPr>
      </w:pPr>
      <w:r w:rsidRPr="007E063A">
        <w:rPr>
          <w:rFonts w:eastAsia="新細明體" w:cs="Arial"/>
        </w:rPr>
        <w:t>Conclusion</w:t>
      </w:r>
    </w:p>
    <w:bookmarkEnd w:id="0"/>
    <w:bookmarkEnd w:id="1"/>
    <w:p w14:paraId="0C43D3F7" w14:textId="4CD4B03B" w:rsidR="007B546B" w:rsidRPr="007E063A" w:rsidRDefault="007B546B" w:rsidP="006F226A">
      <w:pPr>
        <w:spacing w:after="120"/>
        <w:rPr>
          <w:rFonts w:ascii="Arial" w:hAnsi="Arial" w:cs="Arial"/>
          <w:sz w:val="20"/>
          <w:szCs w:val="20"/>
          <w:lang w:val="en-GB"/>
        </w:rPr>
      </w:pPr>
      <w:r w:rsidRPr="007E063A">
        <w:rPr>
          <w:rFonts w:ascii="Arial" w:hAnsi="Arial" w:cs="Arial"/>
          <w:sz w:val="20"/>
          <w:szCs w:val="20"/>
          <w:lang w:val="en-GB"/>
        </w:rPr>
        <w:t>We have the following observations:</w:t>
      </w:r>
    </w:p>
    <w:p w14:paraId="6EE49DD0" w14:textId="59203805" w:rsidR="008D2C0E" w:rsidRPr="007E063A" w:rsidRDefault="000E2C27" w:rsidP="003040E6">
      <w:pPr>
        <w:spacing w:before="120" w:after="120" w:line="259" w:lineRule="auto"/>
        <w:ind w:left="1440" w:hanging="1440"/>
        <w:jc w:val="both"/>
        <w:rPr>
          <w:rFonts w:ascii="Arial" w:hAnsi="Arial" w:cs="Arial"/>
          <w:i/>
          <w:sz w:val="20"/>
          <w:szCs w:val="20"/>
          <w:lang w:val="en-GB" w:eastAsia="ja-JP"/>
        </w:rPr>
      </w:pPr>
      <w:r w:rsidRPr="007E063A">
        <w:rPr>
          <w:rFonts w:ascii="Arial" w:hAnsi="Arial" w:cs="Arial"/>
          <w:i/>
          <w:sz w:val="20"/>
          <w:szCs w:val="20"/>
          <w:lang w:val="en-GB"/>
        </w:rPr>
        <w:t>Observation 1:</w:t>
      </w:r>
      <w:r w:rsidRPr="007E063A">
        <w:rPr>
          <w:rFonts w:ascii="Arial" w:hAnsi="Arial" w:cs="Arial"/>
          <w:i/>
          <w:sz w:val="20"/>
          <w:szCs w:val="20"/>
          <w:lang w:val="en-GB"/>
        </w:rPr>
        <w:tab/>
        <w:t xml:space="preserve">When operating in HF, a UE configured with CHO may face the following </w:t>
      </w:r>
      <w:r>
        <w:rPr>
          <w:rFonts w:ascii="Arial" w:hAnsi="Arial" w:cs="Arial"/>
          <w:i/>
          <w:sz w:val="20"/>
          <w:szCs w:val="20"/>
          <w:lang w:val="en-GB"/>
        </w:rPr>
        <w:t>situations more frequently: (</w:t>
      </w:r>
      <w:r>
        <w:rPr>
          <w:rFonts w:ascii="Arial" w:hAnsi="Arial" w:cs="Arial"/>
          <w:i/>
          <w:sz w:val="20"/>
          <w:szCs w:val="20"/>
          <w:lang w:val="en-GB" w:eastAsia="ja-JP"/>
        </w:rPr>
        <w:t>1</w:t>
      </w:r>
      <w:r w:rsidRPr="007E063A">
        <w:rPr>
          <w:rFonts w:ascii="Arial" w:hAnsi="Arial" w:cs="Arial"/>
          <w:i/>
          <w:sz w:val="20"/>
          <w:szCs w:val="20"/>
          <w:lang w:val="en-GB" w:eastAsia="ja-JP"/>
        </w:rPr>
        <w:t xml:space="preserve">) </w:t>
      </w:r>
      <w:r>
        <w:rPr>
          <w:rFonts w:ascii="Arial" w:hAnsi="Arial" w:cs="Arial"/>
          <w:i/>
          <w:sz w:val="20"/>
          <w:szCs w:val="20"/>
          <w:lang w:val="en-GB" w:eastAsia="ja-JP"/>
        </w:rPr>
        <w:t>multiple measurement reports sent for the same candidate cell, and (2)</w:t>
      </w:r>
      <w:r w:rsidRPr="0033151A">
        <w:rPr>
          <w:rFonts w:hint="eastAsia"/>
        </w:rPr>
        <w:t xml:space="preserve"> </w:t>
      </w:r>
      <w:r>
        <w:rPr>
          <w:rFonts w:ascii="Arial" w:hAnsi="Arial" w:cs="Arial"/>
          <w:i/>
          <w:sz w:val="20"/>
          <w:szCs w:val="20"/>
          <w:lang w:val="en-GB" w:eastAsia="ja-JP"/>
        </w:rPr>
        <w:t>m</w:t>
      </w:r>
      <w:r w:rsidRPr="0033151A">
        <w:rPr>
          <w:rFonts w:ascii="Arial" w:hAnsi="Arial" w:cs="Arial"/>
          <w:i/>
          <w:sz w:val="20"/>
          <w:szCs w:val="20"/>
          <w:lang w:val="en-GB" w:eastAsia="ja-JP"/>
        </w:rPr>
        <w:t>easurement reports for inferior candidate cells</w:t>
      </w:r>
      <w:r>
        <w:rPr>
          <w:rFonts w:ascii="Arial" w:hAnsi="Arial" w:cs="Arial"/>
          <w:i/>
          <w:sz w:val="20"/>
          <w:szCs w:val="20"/>
          <w:lang w:val="en-GB" w:eastAsia="ja-JP"/>
        </w:rPr>
        <w:t>.</w:t>
      </w:r>
    </w:p>
    <w:p w14:paraId="63A8BEEA" w14:textId="77777777" w:rsidR="000E1C83" w:rsidRPr="007E063A" w:rsidRDefault="000E1C83" w:rsidP="006F226A">
      <w:pPr>
        <w:spacing w:after="120"/>
        <w:rPr>
          <w:rFonts w:ascii="Arial" w:hAnsi="Arial" w:cs="Arial"/>
          <w:sz w:val="20"/>
          <w:szCs w:val="20"/>
          <w:lang w:val="en-GB"/>
        </w:rPr>
      </w:pPr>
      <w:r w:rsidRPr="007E063A">
        <w:rPr>
          <w:rFonts w:ascii="Arial" w:hAnsi="Arial" w:cs="Arial"/>
          <w:sz w:val="20"/>
          <w:szCs w:val="20"/>
          <w:lang w:val="en-GB"/>
        </w:rPr>
        <w:t>It is proposed to discuss and decide on the following proposals:</w:t>
      </w:r>
    </w:p>
    <w:p w14:paraId="1B7EC036" w14:textId="77777777" w:rsidR="000407A6" w:rsidRDefault="000407A6" w:rsidP="000407A6">
      <w:pPr>
        <w:spacing w:after="120"/>
        <w:ind w:left="1440" w:hanging="1440"/>
        <w:jc w:val="both"/>
        <w:rPr>
          <w:rFonts w:ascii="Arial" w:hAnsi="Arial" w:cs="Arial"/>
          <w:b/>
          <w:sz w:val="20"/>
          <w:szCs w:val="20"/>
          <w:lang w:val="en-GB" w:eastAsia="ja-JP"/>
        </w:rPr>
      </w:pPr>
      <w:r w:rsidRPr="007E063A">
        <w:rPr>
          <w:rFonts w:ascii="Arial" w:hAnsi="Arial" w:cs="Arial"/>
          <w:b/>
          <w:sz w:val="20"/>
          <w:szCs w:val="20"/>
          <w:lang w:val="en-GB" w:eastAsia="ja-JP"/>
        </w:rPr>
        <w:lastRenderedPageBreak/>
        <w:t xml:space="preserve">Proposal </w:t>
      </w:r>
      <w:r>
        <w:rPr>
          <w:rFonts w:ascii="Arial" w:hAnsi="Arial" w:cs="Arial"/>
          <w:b/>
          <w:sz w:val="20"/>
          <w:szCs w:val="20"/>
          <w:lang w:val="en-GB" w:eastAsia="ja-JP"/>
        </w:rPr>
        <w:t>1</w:t>
      </w:r>
      <w:r w:rsidRPr="007E063A">
        <w:rPr>
          <w:rFonts w:ascii="Arial" w:hAnsi="Arial" w:cs="Arial"/>
          <w:b/>
          <w:sz w:val="20"/>
          <w:szCs w:val="20"/>
          <w:lang w:val="en-GB" w:eastAsia="ja-JP"/>
        </w:rPr>
        <w:t>:</w:t>
      </w:r>
      <w:r w:rsidRPr="007E063A">
        <w:rPr>
          <w:rFonts w:ascii="Arial" w:hAnsi="Arial" w:cs="Arial"/>
          <w:b/>
          <w:sz w:val="20"/>
          <w:szCs w:val="20"/>
          <w:lang w:val="en-GB" w:eastAsia="ja-JP"/>
        </w:rPr>
        <w:tab/>
      </w:r>
      <w:r>
        <w:rPr>
          <w:rFonts w:ascii="Arial" w:hAnsi="Arial" w:cs="Arial"/>
          <w:b/>
          <w:sz w:val="20"/>
          <w:szCs w:val="20"/>
          <w:lang w:val="en-GB" w:eastAsia="ja-JP"/>
        </w:rPr>
        <w:t>Introduce an “event for CHO” indicator in measurement report configuration, if set, an event-triggered m</w:t>
      </w:r>
      <w:r w:rsidRPr="007E063A">
        <w:rPr>
          <w:rFonts w:ascii="Arial" w:hAnsi="Arial" w:cs="Arial"/>
          <w:b/>
          <w:sz w:val="20"/>
          <w:szCs w:val="20"/>
          <w:lang w:val="en-GB" w:eastAsia="ja-JP"/>
        </w:rPr>
        <w:t>easurement report</w:t>
      </w:r>
      <w:r>
        <w:rPr>
          <w:rFonts w:ascii="Arial" w:hAnsi="Arial" w:cs="Arial"/>
          <w:b/>
          <w:sz w:val="20"/>
          <w:szCs w:val="20"/>
          <w:lang w:val="en-GB" w:eastAsia="ja-JP"/>
        </w:rPr>
        <w:t xml:space="preserve"> is initiated only if the triggering cell is not included in the CHO candidate list.</w:t>
      </w:r>
    </w:p>
    <w:p w14:paraId="702676BA" w14:textId="77777777" w:rsidR="00E05B1F" w:rsidRDefault="00E05B1F" w:rsidP="00E05B1F">
      <w:pPr>
        <w:spacing w:after="120"/>
        <w:ind w:left="1440" w:hanging="1440"/>
        <w:jc w:val="both"/>
        <w:rPr>
          <w:rFonts w:ascii="Arial" w:hAnsi="Arial" w:cs="Arial"/>
          <w:b/>
          <w:sz w:val="20"/>
          <w:szCs w:val="20"/>
          <w:lang w:val="en-GB" w:eastAsia="ja-JP"/>
        </w:rPr>
      </w:pPr>
      <w:r w:rsidRPr="007E063A">
        <w:rPr>
          <w:rFonts w:ascii="Arial" w:hAnsi="Arial" w:cs="Arial"/>
          <w:b/>
          <w:sz w:val="20"/>
          <w:szCs w:val="20"/>
          <w:lang w:val="en-GB" w:eastAsia="ja-JP"/>
        </w:rPr>
        <w:t xml:space="preserve">Proposal </w:t>
      </w:r>
      <w:r>
        <w:rPr>
          <w:rFonts w:ascii="Arial" w:hAnsi="Arial" w:cs="Arial"/>
          <w:b/>
          <w:sz w:val="20"/>
          <w:szCs w:val="20"/>
          <w:lang w:val="en-GB" w:eastAsia="ja-JP"/>
        </w:rPr>
        <w:t>2</w:t>
      </w:r>
      <w:r w:rsidRPr="007E063A">
        <w:rPr>
          <w:rFonts w:ascii="Arial" w:hAnsi="Arial" w:cs="Arial"/>
          <w:b/>
          <w:sz w:val="20"/>
          <w:szCs w:val="20"/>
          <w:lang w:val="en-GB" w:eastAsia="ja-JP"/>
        </w:rPr>
        <w:t>:</w:t>
      </w:r>
      <w:r w:rsidRPr="007E063A">
        <w:rPr>
          <w:rFonts w:ascii="Arial" w:hAnsi="Arial" w:cs="Arial"/>
          <w:b/>
          <w:sz w:val="20"/>
          <w:szCs w:val="20"/>
          <w:lang w:val="en-GB" w:eastAsia="ja-JP"/>
        </w:rPr>
        <w:tab/>
      </w:r>
      <w:r>
        <w:rPr>
          <w:rFonts w:ascii="Arial" w:hAnsi="Arial" w:cs="Arial"/>
          <w:b/>
          <w:sz w:val="20"/>
          <w:szCs w:val="20"/>
          <w:lang w:val="en-GB" w:eastAsia="ja-JP"/>
        </w:rPr>
        <w:t>If the “event for CHO” indicator is set, an event-triggered m</w:t>
      </w:r>
      <w:r w:rsidRPr="007E063A">
        <w:rPr>
          <w:rFonts w:ascii="Arial" w:hAnsi="Arial" w:cs="Arial"/>
          <w:b/>
          <w:sz w:val="20"/>
          <w:szCs w:val="20"/>
          <w:lang w:val="en-GB" w:eastAsia="ja-JP"/>
        </w:rPr>
        <w:t>easurement report</w:t>
      </w:r>
      <w:r>
        <w:rPr>
          <w:rFonts w:ascii="Arial" w:hAnsi="Arial" w:cs="Arial"/>
          <w:b/>
          <w:sz w:val="20"/>
          <w:szCs w:val="20"/>
          <w:lang w:val="en-GB" w:eastAsia="ja-JP"/>
        </w:rPr>
        <w:t xml:space="preserve"> is initiated</w:t>
      </w:r>
      <w:r w:rsidRPr="003B5043">
        <w:rPr>
          <w:rFonts w:ascii="Arial" w:hAnsi="Arial" w:cs="Arial"/>
          <w:b/>
          <w:sz w:val="20"/>
          <w:szCs w:val="20"/>
          <w:lang w:val="en-GB" w:eastAsia="ja-JP"/>
        </w:rPr>
        <w:t xml:space="preserve"> only if the </w:t>
      </w:r>
      <w:r w:rsidRPr="003B5043">
        <w:rPr>
          <w:rFonts w:ascii="Arial" w:hAnsi="Arial" w:cs="Arial"/>
          <w:b/>
          <w:i/>
          <w:sz w:val="20"/>
          <w:szCs w:val="20"/>
          <w:lang w:val="en-GB" w:eastAsia="ja-JP"/>
        </w:rPr>
        <w:t>n</w:t>
      </w:r>
      <w:r w:rsidRPr="003B5043">
        <w:rPr>
          <w:rFonts w:ascii="Arial" w:hAnsi="Arial" w:cs="Arial"/>
          <w:b/>
          <w:sz w:val="20"/>
          <w:szCs w:val="20"/>
          <w:lang w:val="en-GB" w:eastAsia="ja-JP"/>
        </w:rPr>
        <w:t xml:space="preserve">-th best cell in current CHO candidate cell list is no better than the </w:t>
      </w:r>
      <w:r>
        <w:rPr>
          <w:rFonts w:ascii="Arial" w:hAnsi="Arial" w:cs="Arial"/>
          <w:b/>
          <w:sz w:val="20"/>
          <w:szCs w:val="20"/>
          <w:lang w:val="en-GB" w:eastAsia="ja-JP"/>
        </w:rPr>
        <w:t xml:space="preserve">report </w:t>
      </w:r>
      <w:r w:rsidRPr="003B5043">
        <w:rPr>
          <w:rFonts w:ascii="Arial" w:hAnsi="Arial" w:cs="Arial"/>
          <w:b/>
          <w:sz w:val="20"/>
          <w:szCs w:val="20"/>
          <w:lang w:val="en-GB" w:eastAsia="ja-JP"/>
        </w:rPr>
        <w:t>triggering cell.</w:t>
      </w:r>
      <w:r>
        <w:rPr>
          <w:rFonts w:ascii="Arial" w:hAnsi="Arial" w:cs="Arial"/>
          <w:b/>
          <w:sz w:val="20"/>
          <w:szCs w:val="20"/>
          <w:lang w:val="en-GB" w:eastAsia="ja-JP"/>
        </w:rPr>
        <w:t xml:space="preserve"> It is FFS how to define a “better” cell in multi-beam operation.</w:t>
      </w:r>
    </w:p>
    <w:p w14:paraId="32BE51B2" w14:textId="1FC56016" w:rsidR="000407A6" w:rsidRDefault="000407A6" w:rsidP="000407A6">
      <w:pPr>
        <w:spacing w:after="120"/>
        <w:ind w:left="1440" w:hanging="1440"/>
        <w:rPr>
          <w:rFonts w:ascii="Arial" w:hAnsi="Arial" w:cs="Arial"/>
          <w:b/>
          <w:sz w:val="20"/>
          <w:szCs w:val="20"/>
          <w:lang w:val="en-GB" w:eastAsia="ja-JP"/>
        </w:rPr>
      </w:pPr>
      <w:r w:rsidRPr="00AB068B">
        <w:rPr>
          <w:rFonts w:ascii="Arial" w:hAnsi="Arial" w:cs="Arial"/>
          <w:b/>
          <w:sz w:val="20"/>
          <w:szCs w:val="20"/>
          <w:lang w:val="en-GB" w:eastAsia="ja-JP"/>
        </w:rPr>
        <w:t>Proposal 3:</w:t>
      </w:r>
      <w:r w:rsidRPr="00AB068B">
        <w:rPr>
          <w:rFonts w:ascii="Arial" w:hAnsi="Arial" w:cs="Arial"/>
          <w:b/>
          <w:sz w:val="20"/>
          <w:szCs w:val="20"/>
          <w:lang w:val="en-GB" w:eastAsia="ja-JP"/>
        </w:rPr>
        <w:tab/>
        <w:t>The “event for CHO” indicator is associated with the configuration of a measurement event</w:t>
      </w:r>
      <w:r>
        <w:rPr>
          <w:rFonts w:ascii="Arial" w:hAnsi="Arial" w:cs="Arial"/>
          <w:b/>
          <w:sz w:val="20"/>
          <w:szCs w:val="20"/>
          <w:lang w:val="en-GB" w:eastAsia="ja-JP"/>
        </w:rPr>
        <w:t xml:space="preserve"> related to CHO candidate reporting.</w:t>
      </w:r>
    </w:p>
    <w:p w14:paraId="69CFFB1C" w14:textId="62478F04" w:rsidR="000407A6" w:rsidRPr="007E063A" w:rsidRDefault="000407A6" w:rsidP="00A01F91">
      <w:pPr>
        <w:spacing w:after="120"/>
        <w:jc w:val="both"/>
        <w:rPr>
          <w:rFonts w:ascii="Arial" w:hAnsi="Arial" w:cs="Arial"/>
          <w:b/>
          <w:sz w:val="20"/>
          <w:szCs w:val="20"/>
          <w:lang w:val="en-GB" w:eastAsia="ja-JP"/>
        </w:rPr>
      </w:pPr>
      <w:r w:rsidRPr="007E063A">
        <w:rPr>
          <w:rFonts w:ascii="Arial" w:hAnsi="Arial" w:cs="Arial"/>
          <w:b/>
          <w:sz w:val="20"/>
          <w:szCs w:val="20"/>
          <w:lang w:val="en-GB" w:eastAsia="ja-JP"/>
        </w:rPr>
        <w:t xml:space="preserve">Proposal </w:t>
      </w:r>
      <w:r>
        <w:rPr>
          <w:rFonts w:ascii="Arial" w:hAnsi="Arial" w:cs="Arial"/>
          <w:b/>
          <w:sz w:val="20"/>
          <w:szCs w:val="20"/>
          <w:lang w:val="en-GB" w:eastAsia="ja-JP"/>
        </w:rPr>
        <w:t>4</w:t>
      </w:r>
      <w:r w:rsidRPr="007E063A">
        <w:rPr>
          <w:rFonts w:ascii="Arial" w:hAnsi="Arial" w:cs="Arial"/>
          <w:b/>
          <w:sz w:val="20"/>
          <w:szCs w:val="20"/>
          <w:lang w:val="en-GB" w:eastAsia="ja-JP"/>
        </w:rPr>
        <w:t>:</w:t>
      </w:r>
      <w:r w:rsidRPr="007E063A">
        <w:rPr>
          <w:rFonts w:ascii="Arial" w:hAnsi="Arial" w:cs="Arial"/>
          <w:b/>
          <w:sz w:val="20"/>
          <w:szCs w:val="20"/>
          <w:lang w:val="en-GB" w:eastAsia="ja-JP"/>
        </w:rPr>
        <w:tab/>
        <w:t xml:space="preserve">Measurement reports for CHO candidates may include </w:t>
      </w:r>
      <w:r w:rsidRPr="006817B8">
        <w:rPr>
          <w:rFonts w:ascii="Arial" w:hAnsi="Arial" w:cs="Arial"/>
          <w:b/>
          <w:sz w:val="20"/>
          <w:szCs w:val="20"/>
          <w:lang w:val="en-GB" w:eastAsia="ja-JP"/>
        </w:rPr>
        <w:t>beam-level measurements</w:t>
      </w:r>
      <w:r>
        <w:rPr>
          <w:rFonts w:ascii="Arial" w:hAnsi="Arial" w:cs="Arial"/>
          <w:b/>
          <w:sz w:val="20"/>
          <w:szCs w:val="20"/>
          <w:lang w:val="en-GB" w:eastAsia="ja-JP"/>
        </w:rPr>
        <w:t>.</w:t>
      </w:r>
    </w:p>
    <w:p w14:paraId="1CD51B74" w14:textId="77777777" w:rsidR="00A07E02" w:rsidRPr="007E063A" w:rsidRDefault="007E37A2" w:rsidP="00A07E02">
      <w:pPr>
        <w:pStyle w:val="1"/>
        <w:overflowPunct w:val="0"/>
        <w:autoSpaceDE w:val="0"/>
        <w:autoSpaceDN w:val="0"/>
        <w:adjustRightInd w:val="0"/>
        <w:rPr>
          <w:rFonts w:eastAsia="新細明體" w:cs="Arial"/>
        </w:rPr>
      </w:pPr>
      <w:r w:rsidRPr="007E063A">
        <w:rPr>
          <w:rFonts w:eastAsia="新細明體" w:cs="Arial"/>
          <w:lang w:eastAsia="zh-TW"/>
        </w:rPr>
        <w:t>R</w:t>
      </w:r>
      <w:r w:rsidR="00A07E02" w:rsidRPr="007E063A">
        <w:rPr>
          <w:rFonts w:eastAsia="新細明體" w:cs="Arial"/>
        </w:rPr>
        <w:t>eference</w:t>
      </w:r>
    </w:p>
    <w:p w14:paraId="70E6315B" w14:textId="42BD3BCD" w:rsidR="00514106" w:rsidRPr="007E063A" w:rsidRDefault="007329D0" w:rsidP="007329D0">
      <w:pPr>
        <w:numPr>
          <w:ilvl w:val="0"/>
          <w:numId w:val="10"/>
        </w:numPr>
        <w:overflowPunct w:val="0"/>
        <w:autoSpaceDE w:val="0"/>
        <w:autoSpaceDN w:val="0"/>
        <w:adjustRightInd w:val="0"/>
        <w:spacing w:after="120"/>
        <w:jc w:val="both"/>
        <w:rPr>
          <w:rFonts w:ascii="Arial" w:hAnsi="Arial" w:cs="Arial"/>
          <w:sz w:val="20"/>
          <w:szCs w:val="20"/>
          <w:lang w:val="en-GB"/>
        </w:rPr>
      </w:pPr>
      <w:r w:rsidRPr="007E063A">
        <w:rPr>
          <w:rFonts w:ascii="Arial" w:hAnsi="Arial" w:cs="Arial"/>
          <w:sz w:val="20"/>
          <w:szCs w:val="20"/>
          <w:lang w:val="en-GB" w:eastAsia="en-US"/>
        </w:rPr>
        <w:t>RP-181475, New Work Item on even further Mobility enhancement in E-UTRAN</w:t>
      </w:r>
      <w:r w:rsidRPr="007E063A">
        <w:rPr>
          <w:rFonts w:ascii="Arial" w:hAnsi="Arial" w:cs="Arial"/>
          <w:sz w:val="20"/>
          <w:szCs w:val="20"/>
          <w:lang w:val="en-GB" w:eastAsia="en-US"/>
        </w:rPr>
        <w:tab/>
        <w:t>China Telecom</w:t>
      </w:r>
    </w:p>
    <w:sectPr w:rsidR="00514106" w:rsidRPr="007E063A" w:rsidSect="00E70F1A">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1BFB2" w14:textId="77777777" w:rsidR="00A3570C" w:rsidRDefault="00A3570C">
      <w:pPr>
        <w:pStyle w:val="TAL"/>
      </w:pPr>
      <w:r>
        <w:separator/>
      </w:r>
    </w:p>
  </w:endnote>
  <w:endnote w:type="continuationSeparator" w:id="0">
    <w:p w14:paraId="0C12ADBE" w14:textId="77777777" w:rsidR="00A3570C" w:rsidRDefault="00A3570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F656BB">
      <w:t>5</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09D1B" w14:textId="77777777" w:rsidR="00A3570C" w:rsidRDefault="00A3570C">
      <w:pPr>
        <w:pStyle w:val="TAL"/>
      </w:pPr>
      <w:r>
        <w:separator/>
      </w:r>
    </w:p>
  </w:footnote>
  <w:footnote w:type="continuationSeparator" w:id="0">
    <w:p w14:paraId="7906F413" w14:textId="77777777" w:rsidR="00A3570C" w:rsidRDefault="00A3570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D3C84"/>
    <w:multiLevelType w:val="hybridMultilevel"/>
    <w:tmpl w:val="CE2E77F8"/>
    <w:lvl w:ilvl="0" w:tplc="BE5674A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884B29"/>
    <w:multiLevelType w:val="hybridMultilevel"/>
    <w:tmpl w:val="3F2CD1C4"/>
    <w:lvl w:ilvl="0" w:tplc="1DE2B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3F34E0"/>
    <w:multiLevelType w:val="hybridMultilevel"/>
    <w:tmpl w:val="4FDE5B6A"/>
    <w:lvl w:ilvl="0" w:tplc="22161B4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3742B"/>
    <w:multiLevelType w:val="hybridMultilevel"/>
    <w:tmpl w:val="9C806584"/>
    <w:lvl w:ilvl="0" w:tplc="04090001">
      <w:start w:val="1"/>
      <w:numFmt w:val="bullet"/>
      <w:lvlText w:val=""/>
      <w:lvlJc w:val="left"/>
      <w:pPr>
        <w:tabs>
          <w:tab w:val="num" w:pos="360"/>
        </w:tabs>
        <w:ind w:left="360" w:hanging="360"/>
      </w:pPr>
      <w:rPr>
        <w:rFonts w:ascii="Symbol" w:hAnsi="Symbol" w:hint="default"/>
      </w:rPr>
    </w:lvl>
    <w:lvl w:ilvl="1" w:tplc="BE5674AE">
      <w:start w:val="1"/>
      <w:numFmt w:val="bullet"/>
      <w:lvlText w:val="-"/>
      <w:lvlJc w:val="left"/>
      <w:pPr>
        <w:tabs>
          <w:tab w:val="num" w:pos="1080"/>
        </w:tabs>
        <w:ind w:left="1080" w:hanging="360"/>
      </w:pPr>
      <w:rPr>
        <w:rFonts w:ascii="Arial" w:eastAsiaTheme="minorEastAsia"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37F5452"/>
    <w:multiLevelType w:val="hybridMultilevel"/>
    <w:tmpl w:val="466E5E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D013C8"/>
    <w:multiLevelType w:val="hybridMultilevel"/>
    <w:tmpl w:val="299A7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BE46134"/>
    <w:multiLevelType w:val="hybridMultilevel"/>
    <w:tmpl w:val="69D8E0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F5192F"/>
    <w:multiLevelType w:val="hybridMultilevel"/>
    <w:tmpl w:val="B602EF7A"/>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06"/>
    <w:multiLevelType w:val="hybridMultilevel"/>
    <w:tmpl w:val="5FC0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915CD7"/>
    <w:multiLevelType w:val="hybridMultilevel"/>
    <w:tmpl w:val="06BE1B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186B84"/>
    <w:multiLevelType w:val="hybridMultilevel"/>
    <w:tmpl w:val="2CF294A6"/>
    <w:lvl w:ilvl="0" w:tplc="BE5674A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644AA3"/>
    <w:multiLevelType w:val="hybridMultilevel"/>
    <w:tmpl w:val="1FDE0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32" w15:restartNumberingAfterBreak="0">
    <w:nsid w:val="725D3705"/>
    <w:multiLevelType w:val="hybridMultilevel"/>
    <w:tmpl w:val="18388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5F2281F"/>
    <w:multiLevelType w:val="hybridMultilevel"/>
    <w:tmpl w:val="D6FAB36A"/>
    <w:lvl w:ilvl="0" w:tplc="0409000F">
      <w:start w:val="1"/>
      <w:numFmt w:val="decimal"/>
      <w:lvlText w:val="%1."/>
      <w:lvlJc w:val="left"/>
      <w:pPr>
        <w:ind w:left="797" w:hanging="360"/>
      </w:p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34"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6"/>
  </w:num>
  <w:num w:numId="3">
    <w:abstractNumId w:val="31"/>
  </w:num>
  <w:num w:numId="4">
    <w:abstractNumId w:val="20"/>
  </w:num>
  <w:num w:numId="5">
    <w:abstractNumId w:val="10"/>
  </w:num>
  <w:num w:numId="6">
    <w:abstractNumId w:val="5"/>
  </w:num>
  <w:num w:numId="7">
    <w:abstractNumId w:val="35"/>
  </w:num>
  <w:num w:numId="8">
    <w:abstractNumId w:val="34"/>
  </w:num>
  <w:num w:numId="9">
    <w:abstractNumId w:val="2"/>
  </w:num>
  <w:num w:numId="10">
    <w:abstractNumId w:val="4"/>
  </w:num>
  <w:num w:numId="11">
    <w:abstractNumId w:val="20"/>
  </w:num>
  <w:num w:numId="12">
    <w:abstractNumId w:val="1"/>
  </w:num>
  <w:num w:numId="13">
    <w:abstractNumId w:val="12"/>
  </w:num>
  <w:num w:numId="14">
    <w:abstractNumId w:val="24"/>
  </w:num>
  <w:num w:numId="15">
    <w:abstractNumId w:val="20"/>
  </w:num>
  <w:num w:numId="16">
    <w:abstractNumId w:val="20"/>
  </w:num>
  <w:num w:numId="17">
    <w:abstractNumId w:val="21"/>
  </w:num>
  <w:num w:numId="18">
    <w:abstractNumId w:val="20"/>
  </w:num>
  <w:num w:numId="19">
    <w:abstractNumId w:val="25"/>
  </w:num>
  <w:num w:numId="20">
    <w:abstractNumId w:val="18"/>
  </w:num>
  <w:num w:numId="21">
    <w:abstractNumId w:val="9"/>
  </w:num>
  <w:num w:numId="22">
    <w:abstractNumId w:val="20"/>
  </w:num>
  <w:num w:numId="23">
    <w:abstractNumId w:val="28"/>
  </w:num>
  <w:num w:numId="24">
    <w:abstractNumId w:val="16"/>
  </w:num>
  <w:num w:numId="25">
    <w:abstractNumId w:val="6"/>
  </w:num>
  <w:num w:numId="26">
    <w:abstractNumId w:val="23"/>
  </w:num>
  <w:num w:numId="27">
    <w:abstractNumId w:val="29"/>
  </w:num>
  <w:num w:numId="28">
    <w:abstractNumId w:val="17"/>
  </w:num>
  <w:num w:numId="29">
    <w:abstractNumId w:val="11"/>
  </w:num>
  <w:num w:numId="30">
    <w:abstractNumId w:val="22"/>
  </w:num>
  <w:num w:numId="31">
    <w:abstractNumId w:val="0"/>
  </w:num>
  <w:num w:numId="32">
    <w:abstractNumId w:val="3"/>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13"/>
  </w:num>
  <w:num w:numId="36">
    <w:abstractNumId w:val="30"/>
  </w:num>
  <w:num w:numId="37">
    <w:abstractNumId w:val="26"/>
  </w:num>
  <w:num w:numId="38">
    <w:abstractNumId w:val="8"/>
  </w:num>
  <w:num w:numId="39">
    <w:abstractNumId w:val="19"/>
  </w:num>
  <w:num w:numId="40">
    <w:abstractNumId w:val="33"/>
  </w:num>
  <w:num w:numId="41">
    <w:abstractNumId w:val="15"/>
  </w:num>
  <w:num w:numId="42">
    <w:abstractNumId w:val="27"/>
  </w:num>
  <w:num w:numId="43">
    <w:abstractNumId w:val="32"/>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4CEB"/>
    <w:rsid w:val="000051D6"/>
    <w:rsid w:val="00005242"/>
    <w:rsid w:val="00005804"/>
    <w:rsid w:val="00005B55"/>
    <w:rsid w:val="00006332"/>
    <w:rsid w:val="00006420"/>
    <w:rsid w:val="000067A5"/>
    <w:rsid w:val="00006927"/>
    <w:rsid w:val="00006F30"/>
    <w:rsid w:val="00006F97"/>
    <w:rsid w:val="00007250"/>
    <w:rsid w:val="00007CE0"/>
    <w:rsid w:val="00011713"/>
    <w:rsid w:val="00012144"/>
    <w:rsid w:val="000121FB"/>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624"/>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1A44"/>
    <w:rsid w:val="00032166"/>
    <w:rsid w:val="00032392"/>
    <w:rsid w:val="00032986"/>
    <w:rsid w:val="00032A3A"/>
    <w:rsid w:val="00032D83"/>
    <w:rsid w:val="00032F7F"/>
    <w:rsid w:val="0003307A"/>
    <w:rsid w:val="00033CCF"/>
    <w:rsid w:val="00034464"/>
    <w:rsid w:val="00034660"/>
    <w:rsid w:val="0003491E"/>
    <w:rsid w:val="00034A4D"/>
    <w:rsid w:val="00035B08"/>
    <w:rsid w:val="00036EA5"/>
    <w:rsid w:val="000370C3"/>
    <w:rsid w:val="0003726E"/>
    <w:rsid w:val="00037A9E"/>
    <w:rsid w:val="00037C0A"/>
    <w:rsid w:val="000407A6"/>
    <w:rsid w:val="00040B33"/>
    <w:rsid w:val="000412E0"/>
    <w:rsid w:val="00041B84"/>
    <w:rsid w:val="00042441"/>
    <w:rsid w:val="000428DF"/>
    <w:rsid w:val="00042B03"/>
    <w:rsid w:val="00043468"/>
    <w:rsid w:val="00043CDC"/>
    <w:rsid w:val="000440A0"/>
    <w:rsid w:val="0004447C"/>
    <w:rsid w:val="00044729"/>
    <w:rsid w:val="00044BD0"/>
    <w:rsid w:val="00044CE9"/>
    <w:rsid w:val="00045D96"/>
    <w:rsid w:val="00045E04"/>
    <w:rsid w:val="00045F79"/>
    <w:rsid w:val="00046074"/>
    <w:rsid w:val="00046318"/>
    <w:rsid w:val="00046662"/>
    <w:rsid w:val="000469D9"/>
    <w:rsid w:val="00046D9C"/>
    <w:rsid w:val="00047B84"/>
    <w:rsid w:val="000501D3"/>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BA4"/>
    <w:rsid w:val="00062D5D"/>
    <w:rsid w:val="00063252"/>
    <w:rsid w:val="000634DE"/>
    <w:rsid w:val="00063C5D"/>
    <w:rsid w:val="00063DD6"/>
    <w:rsid w:val="0006478B"/>
    <w:rsid w:val="00064E7D"/>
    <w:rsid w:val="000653B1"/>
    <w:rsid w:val="0006586E"/>
    <w:rsid w:val="00065D44"/>
    <w:rsid w:val="00065EF2"/>
    <w:rsid w:val="00066193"/>
    <w:rsid w:val="00066900"/>
    <w:rsid w:val="000669CF"/>
    <w:rsid w:val="00066A62"/>
    <w:rsid w:val="00066DA1"/>
    <w:rsid w:val="00067172"/>
    <w:rsid w:val="00067257"/>
    <w:rsid w:val="000676F0"/>
    <w:rsid w:val="00067A28"/>
    <w:rsid w:val="00067A64"/>
    <w:rsid w:val="00067E4A"/>
    <w:rsid w:val="00070781"/>
    <w:rsid w:val="00070B7C"/>
    <w:rsid w:val="00070C9C"/>
    <w:rsid w:val="00070F56"/>
    <w:rsid w:val="000713EB"/>
    <w:rsid w:val="00071B04"/>
    <w:rsid w:val="0007267B"/>
    <w:rsid w:val="00072A47"/>
    <w:rsid w:val="00072B10"/>
    <w:rsid w:val="00072DF5"/>
    <w:rsid w:val="00073F74"/>
    <w:rsid w:val="00073F79"/>
    <w:rsid w:val="000748B9"/>
    <w:rsid w:val="00075D95"/>
    <w:rsid w:val="0007612D"/>
    <w:rsid w:val="00076AB1"/>
    <w:rsid w:val="00076DA4"/>
    <w:rsid w:val="000771A9"/>
    <w:rsid w:val="00077A44"/>
    <w:rsid w:val="00077AA6"/>
    <w:rsid w:val="00077D9E"/>
    <w:rsid w:val="0008028B"/>
    <w:rsid w:val="0008101D"/>
    <w:rsid w:val="000810C9"/>
    <w:rsid w:val="00081BB5"/>
    <w:rsid w:val="00081E2B"/>
    <w:rsid w:val="0008209D"/>
    <w:rsid w:val="00082478"/>
    <w:rsid w:val="00083706"/>
    <w:rsid w:val="0008396C"/>
    <w:rsid w:val="00083FEA"/>
    <w:rsid w:val="000840BA"/>
    <w:rsid w:val="00084136"/>
    <w:rsid w:val="000841A0"/>
    <w:rsid w:val="000841FD"/>
    <w:rsid w:val="00084612"/>
    <w:rsid w:val="00084A61"/>
    <w:rsid w:val="00084A9F"/>
    <w:rsid w:val="00086675"/>
    <w:rsid w:val="000866C9"/>
    <w:rsid w:val="00087334"/>
    <w:rsid w:val="000879F0"/>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4"/>
    <w:rsid w:val="000A583C"/>
    <w:rsid w:val="000A5C81"/>
    <w:rsid w:val="000A6BED"/>
    <w:rsid w:val="000A70A0"/>
    <w:rsid w:val="000A7A44"/>
    <w:rsid w:val="000A7F79"/>
    <w:rsid w:val="000A7F96"/>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173"/>
    <w:rsid w:val="000C1A87"/>
    <w:rsid w:val="000C216C"/>
    <w:rsid w:val="000C2A48"/>
    <w:rsid w:val="000C2ACB"/>
    <w:rsid w:val="000C2DD7"/>
    <w:rsid w:val="000C3818"/>
    <w:rsid w:val="000C3A73"/>
    <w:rsid w:val="000C3A74"/>
    <w:rsid w:val="000C3B9D"/>
    <w:rsid w:val="000C4888"/>
    <w:rsid w:val="000C4F44"/>
    <w:rsid w:val="000C5119"/>
    <w:rsid w:val="000C6F10"/>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8AF"/>
    <w:rsid w:val="000D4A71"/>
    <w:rsid w:val="000D5252"/>
    <w:rsid w:val="000D5403"/>
    <w:rsid w:val="000D572E"/>
    <w:rsid w:val="000D57FE"/>
    <w:rsid w:val="000D5C8A"/>
    <w:rsid w:val="000D6A92"/>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2C27"/>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E"/>
    <w:rsid w:val="000F302D"/>
    <w:rsid w:val="000F3310"/>
    <w:rsid w:val="000F33BA"/>
    <w:rsid w:val="000F37FB"/>
    <w:rsid w:val="000F44AD"/>
    <w:rsid w:val="000F4549"/>
    <w:rsid w:val="000F5057"/>
    <w:rsid w:val="000F52F5"/>
    <w:rsid w:val="000F54BC"/>
    <w:rsid w:val="000F558F"/>
    <w:rsid w:val="000F606C"/>
    <w:rsid w:val="000F7D52"/>
    <w:rsid w:val="00100446"/>
    <w:rsid w:val="001004B3"/>
    <w:rsid w:val="00100575"/>
    <w:rsid w:val="00100CDB"/>
    <w:rsid w:val="00101022"/>
    <w:rsid w:val="00101087"/>
    <w:rsid w:val="0010194D"/>
    <w:rsid w:val="0010195B"/>
    <w:rsid w:val="00102416"/>
    <w:rsid w:val="001024E4"/>
    <w:rsid w:val="00102C04"/>
    <w:rsid w:val="00103434"/>
    <w:rsid w:val="00103581"/>
    <w:rsid w:val="00103E67"/>
    <w:rsid w:val="001040B6"/>
    <w:rsid w:val="001041C6"/>
    <w:rsid w:val="0010432E"/>
    <w:rsid w:val="001047DE"/>
    <w:rsid w:val="001051CB"/>
    <w:rsid w:val="00105425"/>
    <w:rsid w:val="00105462"/>
    <w:rsid w:val="0010569E"/>
    <w:rsid w:val="00105747"/>
    <w:rsid w:val="00106DAC"/>
    <w:rsid w:val="00106F4F"/>
    <w:rsid w:val="001070F3"/>
    <w:rsid w:val="0010742C"/>
    <w:rsid w:val="0011014F"/>
    <w:rsid w:val="00110F55"/>
    <w:rsid w:val="00111174"/>
    <w:rsid w:val="001118BE"/>
    <w:rsid w:val="00111A08"/>
    <w:rsid w:val="00112549"/>
    <w:rsid w:val="00112C63"/>
    <w:rsid w:val="00113F64"/>
    <w:rsid w:val="001140CD"/>
    <w:rsid w:val="00114754"/>
    <w:rsid w:val="00114768"/>
    <w:rsid w:val="00114FC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88C"/>
    <w:rsid w:val="00125AB6"/>
    <w:rsid w:val="00126852"/>
    <w:rsid w:val="00126941"/>
    <w:rsid w:val="00126E60"/>
    <w:rsid w:val="001274C6"/>
    <w:rsid w:val="00127CBC"/>
    <w:rsid w:val="00127F4D"/>
    <w:rsid w:val="001306AA"/>
    <w:rsid w:val="00130FB7"/>
    <w:rsid w:val="001314A0"/>
    <w:rsid w:val="00131B50"/>
    <w:rsid w:val="0013226E"/>
    <w:rsid w:val="0013275C"/>
    <w:rsid w:val="00132802"/>
    <w:rsid w:val="001328F7"/>
    <w:rsid w:val="00133239"/>
    <w:rsid w:val="00133758"/>
    <w:rsid w:val="00133BBA"/>
    <w:rsid w:val="00133D36"/>
    <w:rsid w:val="001341E3"/>
    <w:rsid w:val="001346A1"/>
    <w:rsid w:val="0013487F"/>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A83"/>
    <w:rsid w:val="00142D75"/>
    <w:rsid w:val="001436D1"/>
    <w:rsid w:val="00144732"/>
    <w:rsid w:val="00144BD2"/>
    <w:rsid w:val="00144ED0"/>
    <w:rsid w:val="001454B8"/>
    <w:rsid w:val="00145581"/>
    <w:rsid w:val="00145B02"/>
    <w:rsid w:val="00145D63"/>
    <w:rsid w:val="0014605E"/>
    <w:rsid w:val="001460DB"/>
    <w:rsid w:val="001468C6"/>
    <w:rsid w:val="00146F2C"/>
    <w:rsid w:val="00147188"/>
    <w:rsid w:val="0014780B"/>
    <w:rsid w:val="00147C32"/>
    <w:rsid w:val="00147E9F"/>
    <w:rsid w:val="0015004C"/>
    <w:rsid w:val="00150718"/>
    <w:rsid w:val="0015153B"/>
    <w:rsid w:val="00151755"/>
    <w:rsid w:val="00151AB8"/>
    <w:rsid w:val="00151B1F"/>
    <w:rsid w:val="00151C74"/>
    <w:rsid w:val="00151E25"/>
    <w:rsid w:val="001523B5"/>
    <w:rsid w:val="0015333F"/>
    <w:rsid w:val="0015419B"/>
    <w:rsid w:val="001549CE"/>
    <w:rsid w:val="00156604"/>
    <w:rsid w:val="001566D5"/>
    <w:rsid w:val="0015750D"/>
    <w:rsid w:val="001576E1"/>
    <w:rsid w:val="00157CBF"/>
    <w:rsid w:val="00157DCD"/>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D0D"/>
    <w:rsid w:val="00170DD5"/>
    <w:rsid w:val="00170F4B"/>
    <w:rsid w:val="00170FC7"/>
    <w:rsid w:val="00170FFA"/>
    <w:rsid w:val="00171766"/>
    <w:rsid w:val="00171B49"/>
    <w:rsid w:val="00172490"/>
    <w:rsid w:val="00172831"/>
    <w:rsid w:val="001728DB"/>
    <w:rsid w:val="00172C0E"/>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4CB"/>
    <w:rsid w:val="00183DDA"/>
    <w:rsid w:val="00183FA9"/>
    <w:rsid w:val="00186579"/>
    <w:rsid w:val="00186B09"/>
    <w:rsid w:val="001879AB"/>
    <w:rsid w:val="00187AC7"/>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A04C1"/>
    <w:rsid w:val="001A0685"/>
    <w:rsid w:val="001A07EB"/>
    <w:rsid w:val="001A099B"/>
    <w:rsid w:val="001A17A1"/>
    <w:rsid w:val="001A198F"/>
    <w:rsid w:val="001A2537"/>
    <w:rsid w:val="001A331F"/>
    <w:rsid w:val="001A37E1"/>
    <w:rsid w:val="001A3AEC"/>
    <w:rsid w:val="001A3F63"/>
    <w:rsid w:val="001A4149"/>
    <w:rsid w:val="001A4630"/>
    <w:rsid w:val="001A4D64"/>
    <w:rsid w:val="001A513B"/>
    <w:rsid w:val="001A5590"/>
    <w:rsid w:val="001A599E"/>
    <w:rsid w:val="001A6047"/>
    <w:rsid w:val="001A61D8"/>
    <w:rsid w:val="001A6389"/>
    <w:rsid w:val="001A7307"/>
    <w:rsid w:val="001A7535"/>
    <w:rsid w:val="001A7FA6"/>
    <w:rsid w:val="001B04E1"/>
    <w:rsid w:val="001B0A5C"/>
    <w:rsid w:val="001B0A84"/>
    <w:rsid w:val="001B0FBD"/>
    <w:rsid w:val="001B18AF"/>
    <w:rsid w:val="001B1A86"/>
    <w:rsid w:val="001B1B40"/>
    <w:rsid w:val="001B1B91"/>
    <w:rsid w:val="001B1CBF"/>
    <w:rsid w:val="001B1D4B"/>
    <w:rsid w:val="001B1F04"/>
    <w:rsid w:val="001B22F6"/>
    <w:rsid w:val="001B2353"/>
    <w:rsid w:val="001B2F69"/>
    <w:rsid w:val="001B3254"/>
    <w:rsid w:val="001B385D"/>
    <w:rsid w:val="001B3B49"/>
    <w:rsid w:val="001B4626"/>
    <w:rsid w:val="001B5707"/>
    <w:rsid w:val="001B6824"/>
    <w:rsid w:val="001B6C75"/>
    <w:rsid w:val="001B7803"/>
    <w:rsid w:val="001C0E55"/>
    <w:rsid w:val="001C12E8"/>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6648"/>
    <w:rsid w:val="001C69F3"/>
    <w:rsid w:val="001C6ABE"/>
    <w:rsid w:val="001C6C3F"/>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54CA"/>
    <w:rsid w:val="001D57C6"/>
    <w:rsid w:val="001D5A20"/>
    <w:rsid w:val="001D6E74"/>
    <w:rsid w:val="001D70BA"/>
    <w:rsid w:val="001D7269"/>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00"/>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1C8D"/>
    <w:rsid w:val="002024F8"/>
    <w:rsid w:val="00202654"/>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857"/>
    <w:rsid w:val="00213A2B"/>
    <w:rsid w:val="0021459D"/>
    <w:rsid w:val="00214AB8"/>
    <w:rsid w:val="00214C48"/>
    <w:rsid w:val="00214E0D"/>
    <w:rsid w:val="00215261"/>
    <w:rsid w:val="002166A4"/>
    <w:rsid w:val="002168F0"/>
    <w:rsid w:val="00217020"/>
    <w:rsid w:val="002170A4"/>
    <w:rsid w:val="00217225"/>
    <w:rsid w:val="00217757"/>
    <w:rsid w:val="00217911"/>
    <w:rsid w:val="00217A70"/>
    <w:rsid w:val="00217AA0"/>
    <w:rsid w:val="00217B22"/>
    <w:rsid w:val="00220189"/>
    <w:rsid w:val="0022080A"/>
    <w:rsid w:val="00221143"/>
    <w:rsid w:val="00221506"/>
    <w:rsid w:val="002219DD"/>
    <w:rsid w:val="00221EF7"/>
    <w:rsid w:val="00222989"/>
    <w:rsid w:val="00222D52"/>
    <w:rsid w:val="00222F85"/>
    <w:rsid w:val="00223655"/>
    <w:rsid w:val="00223EFD"/>
    <w:rsid w:val="00224016"/>
    <w:rsid w:val="0022431F"/>
    <w:rsid w:val="00224427"/>
    <w:rsid w:val="00225605"/>
    <w:rsid w:val="00225B66"/>
    <w:rsid w:val="00225E1F"/>
    <w:rsid w:val="0022635D"/>
    <w:rsid w:val="002264E0"/>
    <w:rsid w:val="002269E2"/>
    <w:rsid w:val="00226AFA"/>
    <w:rsid w:val="00226D8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AB5"/>
    <w:rsid w:val="00233BA4"/>
    <w:rsid w:val="002342B8"/>
    <w:rsid w:val="002344EE"/>
    <w:rsid w:val="00234770"/>
    <w:rsid w:val="00234800"/>
    <w:rsid w:val="00234899"/>
    <w:rsid w:val="00234F18"/>
    <w:rsid w:val="002407FF"/>
    <w:rsid w:val="00240FA7"/>
    <w:rsid w:val="00240FC8"/>
    <w:rsid w:val="00242226"/>
    <w:rsid w:val="00243012"/>
    <w:rsid w:val="002430F5"/>
    <w:rsid w:val="00243E36"/>
    <w:rsid w:val="00244724"/>
    <w:rsid w:val="00244E06"/>
    <w:rsid w:val="00245EE7"/>
    <w:rsid w:val="00247A87"/>
    <w:rsid w:val="00247BCB"/>
    <w:rsid w:val="00247E30"/>
    <w:rsid w:val="002505A3"/>
    <w:rsid w:val="0025144F"/>
    <w:rsid w:val="002518C1"/>
    <w:rsid w:val="002519D9"/>
    <w:rsid w:val="00251AE7"/>
    <w:rsid w:val="00251CA3"/>
    <w:rsid w:val="00252014"/>
    <w:rsid w:val="002527DB"/>
    <w:rsid w:val="00252837"/>
    <w:rsid w:val="00252DFA"/>
    <w:rsid w:val="00252F4C"/>
    <w:rsid w:val="00252F9F"/>
    <w:rsid w:val="00253981"/>
    <w:rsid w:val="00253F19"/>
    <w:rsid w:val="0025479C"/>
    <w:rsid w:val="00255F29"/>
    <w:rsid w:val="002562A2"/>
    <w:rsid w:val="00257196"/>
    <w:rsid w:val="00257292"/>
    <w:rsid w:val="00257BB0"/>
    <w:rsid w:val="00260637"/>
    <w:rsid w:val="00260790"/>
    <w:rsid w:val="00261A6D"/>
    <w:rsid w:val="00263798"/>
    <w:rsid w:val="00263E5D"/>
    <w:rsid w:val="00264668"/>
    <w:rsid w:val="0026467A"/>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DEE"/>
    <w:rsid w:val="00287F56"/>
    <w:rsid w:val="002901E6"/>
    <w:rsid w:val="0029030D"/>
    <w:rsid w:val="002903BA"/>
    <w:rsid w:val="002906ED"/>
    <w:rsid w:val="002912C2"/>
    <w:rsid w:val="0029132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9E4"/>
    <w:rsid w:val="00297FE1"/>
    <w:rsid w:val="002A02D5"/>
    <w:rsid w:val="002A0598"/>
    <w:rsid w:val="002A0777"/>
    <w:rsid w:val="002A0AE8"/>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B12"/>
    <w:rsid w:val="002B1B5F"/>
    <w:rsid w:val="002B1DE4"/>
    <w:rsid w:val="002B207E"/>
    <w:rsid w:val="002B285A"/>
    <w:rsid w:val="002B2EF6"/>
    <w:rsid w:val="002B3425"/>
    <w:rsid w:val="002B34BE"/>
    <w:rsid w:val="002B3CAA"/>
    <w:rsid w:val="002B4C45"/>
    <w:rsid w:val="002B4F81"/>
    <w:rsid w:val="002B50F6"/>
    <w:rsid w:val="002B5D8B"/>
    <w:rsid w:val="002B5E16"/>
    <w:rsid w:val="002B630D"/>
    <w:rsid w:val="002B6496"/>
    <w:rsid w:val="002B6C56"/>
    <w:rsid w:val="002B7547"/>
    <w:rsid w:val="002B7A3A"/>
    <w:rsid w:val="002B7B5D"/>
    <w:rsid w:val="002B7EC0"/>
    <w:rsid w:val="002B7F07"/>
    <w:rsid w:val="002C1741"/>
    <w:rsid w:val="002C1AFA"/>
    <w:rsid w:val="002C1B10"/>
    <w:rsid w:val="002C1B9C"/>
    <w:rsid w:val="002C2116"/>
    <w:rsid w:val="002C2438"/>
    <w:rsid w:val="002C2811"/>
    <w:rsid w:val="002C2985"/>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3BF"/>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6E7"/>
    <w:rsid w:val="002F174E"/>
    <w:rsid w:val="002F1C37"/>
    <w:rsid w:val="002F26EB"/>
    <w:rsid w:val="002F2845"/>
    <w:rsid w:val="002F2EFC"/>
    <w:rsid w:val="002F3384"/>
    <w:rsid w:val="002F35F9"/>
    <w:rsid w:val="002F431A"/>
    <w:rsid w:val="002F44CD"/>
    <w:rsid w:val="002F454E"/>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01C"/>
    <w:rsid w:val="003021A4"/>
    <w:rsid w:val="00302FD0"/>
    <w:rsid w:val="0030337E"/>
    <w:rsid w:val="003034D9"/>
    <w:rsid w:val="003040E6"/>
    <w:rsid w:val="003042F7"/>
    <w:rsid w:val="00304461"/>
    <w:rsid w:val="00304FEE"/>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BB4"/>
    <w:rsid w:val="00314EB0"/>
    <w:rsid w:val="00314EF3"/>
    <w:rsid w:val="0031590C"/>
    <w:rsid w:val="00316438"/>
    <w:rsid w:val="00316777"/>
    <w:rsid w:val="00316E02"/>
    <w:rsid w:val="003172F1"/>
    <w:rsid w:val="00320847"/>
    <w:rsid w:val="0032098B"/>
    <w:rsid w:val="00320F9B"/>
    <w:rsid w:val="00321761"/>
    <w:rsid w:val="00321BF7"/>
    <w:rsid w:val="0032234C"/>
    <w:rsid w:val="003233BD"/>
    <w:rsid w:val="00324219"/>
    <w:rsid w:val="0032521D"/>
    <w:rsid w:val="003255C4"/>
    <w:rsid w:val="00325ED7"/>
    <w:rsid w:val="00325F38"/>
    <w:rsid w:val="003264FF"/>
    <w:rsid w:val="00326A3E"/>
    <w:rsid w:val="003270C9"/>
    <w:rsid w:val="00327973"/>
    <w:rsid w:val="00327B24"/>
    <w:rsid w:val="00327CEE"/>
    <w:rsid w:val="00327D74"/>
    <w:rsid w:val="00330B26"/>
    <w:rsid w:val="00330F88"/>
    <w:rsid w:val="003313BD"/>
    <w:rsid w:val="0033151A"/>
    <w:rsid w:val="0033178E"/>
    <w:rsid w:val="00331D2F"/>
    <w:rsid w:val="003323DE"/>
    <w:rsid w:val="00332D39"/>
    <w:rsid w:val="00332E0D"/>
    <w:rsid w:val="00333816"/>
    <w:rsid w:val="003350F4"/>
    <w:rsid w:val="00335B2A"/>
    <w:rsid w:val="00336736"/>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782"/>
    <w:rsid w:val="00357A6D"/>
    <w:rsid w:val="00357EF6"/>
    <w:rsid w:val="00357F92"/>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407"/>
    <w:rsid w:val="0036682A"/>
    <w:rsid w:val="00367096"/>
    <w:rsid w:val="0036710A"/>
    <w:rsid w:val="00367200"/>
    <w:rsid w:val="00367E04"/>
    <w:rsid w:val="003700D4"/>
    <w:rsid w:val="00371080"/>
    <w:rsid w:val="0037125F"/>
    <w:rsid w:val="00371485"/>
    <w:rsid w:val="00372A89"/>
    <w:rsid w:val="00373172"/>
    <w:rsid w:val="003732A6"/>
    <w:rsid w:val="00373C2C"/>
    <w:rsid w:val="00374936"/>
    <w:rsid w:val="003749BB"/>
    <w:rsid w:val="003749BD"/>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097"/>
    <w:rsid w:val="00382770"/>
    <w:rsid w:val="00382CCC"/>
    <w:rsid w:val="003837BB"/>
    <w:rsid w:val="00384C5B"/>
    <w:rsid w:val="00384D46"/>
    <w:rsid w:val="003851DF"/>
    <w:rsid w:val="00385855"/>
    <w:rsid w:val="00385C65"/>
    <w:rsid w:val="00385DE0"/>
    <w:rsid w:val="00385EB7"/>
    <w:rsid w:val="003862C9"/>
    <w:rsid w:val="003874C3"/>
    <w:rsid w:val="0039047F"/>
    <w:rsid w:val="003904DC"/>
    <w:rsid w:val="00390598"/>
    <w:rsid w:val="003907EA"/>
    <w:rsid w:val="00390B63"/>
    <w:rsid w:val="00390BD2"/>
    <w:rsid w:val="0039128A"/>
    <w:rsid w:val="003912FD"/>
    <w:rsid w:val="003914B2"/>
    <w:rsid w:val="00391B9E"/>
    <w:rsid w:val="00392BCB"/>
    <w:rsid w:val="00392FB1"/>
    <w:rsid w:val="00394803"/>
    <w:rsid w:val="003950A4"/>
    <w:rsid w:val="0039649B"/>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A3F"/>
    <w:rsid w:val="003B20EA"/>
    <w:rsid w:val="003B23AA"/>
    <w:rsid w:val="003B2B5C"/>
    <w:rsid w:val="003B3285"/>
    <w:rsid w:val="003B3966"/>
    <w:rsid w:val="003B44E3"/>
    <w:rsid w:val="003B504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C48"/>
    <w:rsid w:val="003C55A1"/>
    <w:rsid w:val="003C56D6"/>
    <w:rsid w:val="003C62F5"/>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17D"/>
    <w:rsid w:val="003D533B"/>
    <w:rsid w:val="003D591B"/>
    <w:rsid w:val="003D5C65"/>
    <w:rsid w:val="003D6174"/>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339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09B4"/>
    <w:rsid w:val="003F108D"/>
    <w:rsid w:val="003F11B0"/>
    <w:rsid w:val="003F15C5"/>
    <w:rsid w:val="003F1627"/>
    <w:rsid w:val="003F178B"/>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5C4D"/>
    <w:rsid w:val="003F6139"/>
    <w:rsid w:val="003F6B67"/>
    <w:rsid w:val="003F6D6F"/>
    <w:rsid w:val="003F6F22"/>
    <w:rsid w:val="003F752A"/>
    <w:rsid w:val="003F7BDA"/>
    <w:rsid w:val="0040008C"/>
    <w:rsid w:val="00400904"/>
    <w:rsid w:val="00400BAA"/>
    <w:rsid w:val="00400DF3"/>
    <w:rsid w:val="004011E4"/>
    <w:rsid w:val="004013A7"/>
    <w:rsid w:val="0040179C"/>
    <w:rsid w:val="00401B4D"/>
    <w:rsid w:val="00401E9C"/>
    <w:rsid w:val="00401FE7"/>
    <w:rsid w:val="004021D1"/>
    <w:rsid w:val="0040264A"/>
    <w:rsid w:val="00402660"/>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5EDD"/>
    <w:rsid w:val="0040665D"/>
    <w:rsid w:val="00406742"/>
    <w:rsid w:val="00406859"/>
    <w:rsid w:val="00406AA1"/>
    <w:rsid w:val="00411153"/>
    <w:rsid w:val="004118E1"/>
    <w:rsid w:val="004122A9"/>
    <w:rsid w:val="00412B14"/>
    <w:rsid w:val="0041338B"/>
    <w:rsid w:val="004139A2"/>
    <w:rsid w:val="00414729"/>
    <w:rsid w:val="00414B67"/>
    <w:rsid w:val="00414BC5"/>
    <w:rsid w:val="00415868"/>
    <w:rsid w:val="00415B7F"/>
    <w:rsid w:val="00415CA1"/>
    <w:rsid w:val="00415FC3"/>
    <w:rsid w:val="00415FCE"/>
    <w:rsid w:val="00416349"/>
    <w:rsid w:val="004164F9"/>
    <w:rsid w:val="00416879"/>
    <w:rsid w:val="00416C7A"/>
    <w:rsid w:val="00416E90"/>
    <w:rsid w:val="00416EFE"/>
    <w:rsid w:val="0041745C"/>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15B"/>
    <w:rsid w:val="00430181"/>
    <w:rsid w:val="0043028B"/>
    <w:rsid w:val="004307F3"/>
    <w:rsid w:val="00430A41"/>
    <w:rsid w:val="00430E8F"/>
    <w:rsid w:val="0043163A"/>
    <w:rsid w:val="00431A1B"/>
    <w:rsid w:val="004322F1"/>
    <w:rsid w:val="00432839"/>
    <w:rsid w:val="004328F4"/>
    <w:rsid w:val="00432A57"/>
    <w:rsid w:val="00432BA0"/>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DE5"/>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187B"/>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72E"/>
    <w:rsid w:val="00461170"/>
    <w:rsid w:val="00461612"/>
    <w:rsid w:val="00461627"/>
    <w:rsid w:val="00462493"/>
    <w:rsid w:val="00462DD8"/>
    <w:rsid w:val="00463191"/>
    <w:rsid w:val="0046391D"/>
    <w:rsid w:val="0046393D"/>
    <w:rsid w:val="00463C2D"/>
    <w:rsid w:val="00463D51"/>
    <w:rsid w:val="004642E5"/>
    <w:rsid w:val="00464525"/>
    <w:rsid w:val="00464769"/>
    <w:rsid w:val="004656DB"/>
    <w:rsid w:val="0046600C"/>
    <w:rsid w:val="00466482"/>
    <w:rsid w:val="004669EF"/>
    <w:rsid w:val="00466FA0"/>
    <w:rsid w:val="00467180"/>
    <w:rsid w:val="00467305"/>
    <w:rsid w:val="004676E0"/>
    <w:rsid w:val="0047007C"/>
    <w:rsid w:val="00470A80"/>
    <w:rsid w:val="00470C38"/>
    <w:rsid w:val="00470FFD"/>
    <w:rsid w:val="0047199E"/>
    <w:rsid w:val="00471AE3"/>
    <w:rsid w:val="00471B30"/>
    <w:rsid w:val="00471DE3"/>
    <w:rsid w:val="00472411"/>
    <w:rsid w:val="00473A85"/>
    <w:rsid w:val="00474A22"/>
    <w:rsid w:val="00474DF7"/>
    <w:rsid w:val="00474FE2"/>
    <w:rsid w:val="00475B6B"/>
    <w:rsid w:val="00476375"/>
    <w:rsid w:val="0047680C"/>
    <w:rsid w:val="00476D3E"/>
    <w:rsid w:val="0047765E"/>
    <w:rsid w:val="004776E4"/>
    <w:rsid w:val="00477988"/>
    <w:rsid w:val="00477A6C"/>
    <w:rsid w:val="00477F9B"/>
    <w:rsid w:val="004806AD"/>
    <w:rsid w:val="0048083F"/>
    <w:rsid w:val="00480872"/>
    <w:rsid w:val="00480B4C"/>
    <w:rsid w:val="004811A9"/>
    <w:rsid w:val="00481228"/>
    <w:rsid w:val="004820D5"/>
    <w:rsid w:val="00482306"/>
    <w:rsid w:val="004825E9"/>
    <w:rsid w:val="004827CD"/>
    <w:rsid w:val="00482845"/>
    <w:rsid w:val="00482D04"/>
    <w:rsid w:val="00482DFF"/>
    <w:rsid w:val="00482FC9"/>
    <w:rsid w:val="00482FE3"/>
    <w:rsid w:val="00482FEA"/>
    <w:rsid w:val="00483B8B"/>
    <w:rsid w:val="004843AA"/>
    <w:rsid w:val="004843D2"/>
    <w:rsid w:val="00484AA8"/>
    <w:rsid w:val="004853A2"/>
    <w:rsid w:val="00485567"/>
    <w:rsid w:val="00485A45"/>
    <w:rsid w:val="004865CF"/>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4539"/>
    <w:rsid w:val="004951AE"/>
    <w:rsid w:val="004960C9"/>
    <w:rsid w:val="00496788"/>
    <w:rsid w:val="00496AB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5BF7"/>
    <w:rsid w:val="004A65D7"/>
    <w:rsid w:val="004A673A"/>
    <w:rsid w:val="004A6A02"/>
    <w:rsid w:val="004A6A07"/>
    <w:rsid w:val="004A6CF9"/>
    <w:rsid w:val="004A70CC"/>
    <w:rsid w:val="004A7231"/>
    <w:rsid w:val="004A73C4"/>
    <w:rsid w:val="004A778D"/>
    <w:rsid w:val="004B0A27"/>
    <w:rsid w:val="004B0A74"/>
    <w:rsid w:val="004B1A7F"/>
    <w:rsid w:val="004B212A"/>
    <w:rsid w:val="004B294A"/>
    <w:rsid w:val="004B3770"/>
    <w:rsid w:val="004B3920"/>
    <w:rsid w:val="004B39DE"/>
    <w:rsid w:val="004B3B70"/>
    <w:rsid w:val="004B3B8A"/>
    <w:rsid w:val="004B3C89"/>
    <w:rsid w:val="004B4060"/>
    <w:rsid w:val="004B4460"/>
    <w:rsid w:val="004B4F52"/>
    <w:rsid w:val="004B51C0"/>
    <w:rsid w:val="004B52A1"/>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634F"/>
    <w:rsid w:val="004C7333"/>
    <w:rsid w:val="004C75A0"/>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D692B"/>
    <w:rsid w:val="004E0749"/>
    <w:rsid w:val="004E0762"/>
    <w:rsid w:val="004E0904"/>
    <w:rsid w:val="004E0958"/>
    <w:rsid w:val="004E0A01"/>
    <w:rsid w:val="004E0AAD"/>
    <w:rsid w:val="004E1C6D"/>
    <w:rsid w:val="004E287E"/>
    <w:rsid w:val="004E343F"/>
    <w:rsid w:val="004E385D"/>
    <w:rsid w:val="004E3FEB"/>
    <w:rsid w:val="004E4932"/>
    <w:rsid w:val="004E57BB"/>
    <w:rsid w:val="004E5C8E"/>
    <w:rsid w:val="004E5CF9"/>
    <w:rsid w:val="004E625A"/>
    <w:rsid w:val="004E6371"/>
    <w:rsid w:val="004E63DA"/>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24B"/>
    <w:rsid w:val="004F6C0B"/>
    <w:rsid w:val="004F716C"/>
    <w:rsid w:val="004F78D2"/>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1C"/>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927"/>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2E3"/>
    <w:rsid w:val="00513A82"/>
    <w:rsid w:val="00513C1A"/>
    <w:rsid w:val="00513F93"/>
    <w:rsid w:val="00514106"/>
    <w:rsid w:val="005147B6"/>
    <w:rsid w:val="00515580"/>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CE7"/>
    <w:rsid w:val="00537E7A"/>
    <w:rsid w:val="00540491"/>
    <w:rsid w:val="00540773"/>
    <w:rsid w:val="00540903"/>
    <w:rsid w:val="00540F80"/>
    <w:rsid w:val="005413C6"/>
    <w:rsid w:val="0054153A"/>
    <w:rsid w:val="0054304B"/>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3"/>
    <w:rsid w:val="00547F4D"/>
    <w:rsid w:val="005500A1"/>
    <w:rsid w:val="0055051B"/>
    <w:rsid w:val="0055058F"/>
    <w:rsid w:val="005507EA"/>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53D7"/>
    <w:rsid w:val="005561B3"/>
    <w:rsid w:val="005562F0"/>
    <w:rsid w:val="005572D3"/>
    <w:rsid w:val="00560E62"/>
    <w:rsid w:val="00561245"/>
    <w:rsid w:val="0056172E"/>
    <w:rsid w:val="00561964"/>
    <w:rsid w:val="00561AF1"/>
    <w:rsid w:val="00561AF4"/>
    <w:rsid w:val="00561C4E"/>
    <w:rsid w:val="005621B4"/>
    <w:rsid w:val="0056272F"/>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D25"/>
    <w:rsid w:val="00574E76"/>
    <w:rsid w:val="005750D9"/>
    <w:rsid w:val="005752C9"/>
    <w:rsid w:val="005757E6"/>
    <w:rsid w:val="0057595E"/>
    <w:rsid w:val="00576109"/>
    <w:rsid w:val="005764B6"/>
    <w:rsid w:val="00576617"/>
    <w:rsid w:val="00576757"/>
    <w:rsid w:val="00576A04"/>
    <w:rsid w:val="005772B4"/>
    <w:rsid w:val="005774AB"/>
    <w:rsid w:val="00577D0C"/>
    <w:rsid w:val="00580084"/>
    <w:rsid w:val="00580315"/>
    <w:rsid w:val="00580525"/>
    <w:rsid w:val="005807CE"/>
    <w:rsid w:val="005809B1"/>
    <w:rsid w:val="0058124E"/>
    <w:rsid w:val="00581668"/>
    <w:rsid w:val="0058203C"/>
    <w:rsid w:val="0058303E"/>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5C4"/>
    <w:rsid w:val="00590941"/>
    <w:rsid w:val="00591378"/>
    <w:rsid w:val="00591565"/>
    <w:rsid w:val="00591570"/>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5FA9"/>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7AC"/>
    <w:rsid w:val="005A2888"/>
    <w:rsid w:val="005A3F1D"/>
    <w:rsid w:val="005A510E"/>
    <w:rsid w:val="005A51DD"/>
    <w:rsid w:val="005A66F2"/>
    <w:rsid w:val="005A6AF1"/>
    <w:rsid w:val="005A6B0C"/>
    <w:rsid w:val="005A6CE0"/>
    <w:rsid w:val="005A6FAA"/>
    <w:rsid w:val="005A70FE"/>
    <w:rsid w:val="005A77F0"/>
    <w:rsid w:val="005A7F84"/>
    <w:rsid w:val="005B0729"/>
    <w:rsid w:val="005B0CC3"/>
    <w:rsid w:val="005B1904"/>
    <w:rsid w:val="005B1B7F"/>
    <w:rsid w:val="005B1BBC"/>
    <w:rsid w:val="005B2703"/>
    <w:rsid w:val="005B2CA5"/>
    <w:rsid w:val="005B2EB5"/>
    <w:rsid w:val="005B30AB"/>
    <w:rsid w:val="005B341F"/>
    <w:rsid w:val="005B369D"/>
    <w:rsid w:val="005B4117"/>
    <w:rsid w:val="005B4444"/>
    <w:rsid w:val="005B4E68"/>
    <w:rsid w:val="005B5E7A"/>
    <w:rsid w:val="005B669C"/>
    <w:rsid w:val="005B7303"/>
    <w:rsid w:val="005B740D"/>
    <w:rsid w:val="005B787F"/>
    <w:rsid w:val="005B7884"/>
    <w:rsid w:val="005B79CA"/>
    <w:rsid w:val="005C028E"/>
    <w:rsid w:val="005C02A1"/>
    <w:rsid w:val="005C0784"/>
    <w:rsid w:val="005C0B9A"/>
    <w:rsid w:val="005C1747"/>
    <w:rsid w:val="005C1820"/>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351"/>
    <w:rsid w:val="005D1711"/>
    <w:rsid w:val="005D17E4"/>
    <w:rsid w:val="005D1E29"/>
    <w:rsid w:val="005D2D4D"/>
    <w:rsid w:val="005D2D60"/>
    <w:rsid w:val="005D2D78"/>
    <w:rsid w:val="005D2F07"/>
    <w:rsid w:val="005D33A5"/>
    <w:rsid w:val="005D3534"/>
    <w:rsid w:val="005D36A8"/>
    <w:rsid w:val="005D43E4"/>
    <w:rsid w:val="005D54BA"/>
    <w:rsid w:val="005D5684"/>
    <w:rsid w:val="005D5A50"/>
    <w:rsid w:val="005D5AA9"/>
    <w:rsid w:val="005D5CF1"/>
    <w:rsid w:val="005D5EE2"/>
    <w:rsid w:val="005D6967"/>
    <w:rsid w:val="005D72CF"/>
    <w:rsid w:val="005D73DA"/>
    <w:rsid w:val="005D781A"/>
    <w:rsid w:val="005D7B14"/>
    <w:rsid w:val="005E03D4"/>
    <w:rsid w:val="005E07F1"/>
    <w:rsid w:val="005E08D0"/>
    <w:rsid w:val="005E09D6"/>
    <w:rsid w:val="005E0D6A"/>
    <w:rsid w:val="005E0F05"/>
    <w:rsid w:val="005E1205"/>
    <w:rsid w:val="005E1BC7"/>
    <w:rsid w:val="005E2223"/>
    <w:rsid w:val="005E29E3"/>
    <w:rsid w:val="005E2B2E"/>
    <w:rsid w:val="005E2E17"/>
    <w:rsid w:val="005E35F5"/>
    <w:rsid w:val="005E3658"/>
    <w:rsid w:val="005E44FF"/>
    <w:rsid w:val="005E4C6A"/>
    <w:rsid w:val="005E4DA7"/>
    <w:rsid w:val="005E5947"/>
    <w:rsid w:val="005E5A60"/>
    <w:rsid w:val="005E6E27"/>
    <w:rsid w:val="005E778A"/>
    <w:rsid w:val="005E7A8F"/>
    <w:rsid w:val="005F0D25"/>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1CB"/>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4FB"/>
    <w:rsid w:val="00610802"/>
    <w:rsid w:val="0061099F"/>
    <w:rsid w:val="00610CE4"/>
    <w:rsid w:val="0061115E"/>
    <w:rsid w:val="00611D14"/>
    <w:rsid w:val="00612A11"/>
    <w:rsid w:val="00612C92"/>
    <w:rsid w:val="00612E9F"/>
    <w:rsid w:val="00612FE5"/>
    <w:rsid w:val="00613624"/>
    <w:rsid w:val="00615A38"/>
    <w:rsid w:val="00615BCB"/>
    <w:rsid w:val="00615C87"/>
    <w:rsid w:val="00616045"/>
    <w:rsid w:val="0061676D"/>
    <w:rsid w:val="00617056"/>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D05"/>
    <w:rsid w:val="00625F41"/>
    <w:rsid w:val="00626098"/>
    <w:rsid w:val="0062612D"/>
    <w:rsid w:val="0062647D"/>
    <w:rsid w:val="00626577"/>
    <w:rsid w:val="00626DF8"/>
    <w:rsid w:val="0062707C"/>
    <w:rsid w:val="0062764D"/>
    <w:rsid w:val="00627D9A"/>
    <w:rsid w:val="00630138"/>
    <w:rsid w:val="00630329"/>
    <w:rsid w:val="00630DB7"/>
    <w:rsid w:val="006315CA"/>
    <w:rsid w:val="0063169B"/>
    <w:rsid w:val="0063177C"/>
    <w:rsid w:val="00633653"/>
    <w:rsid w:val="00633745"/>
    <w:rsid w:val="00634DF3"/>
    <w:rsid w:val="0063541D"/>
    <w:rsid w:val="006357FC"/>
    <w:rsid w:val="00635F88"/>
    <w:rsid w:val="00636056"/>
    <w:rsid w:val="006365AE"/>
    <w:rsid w:val="006368E2"/>
    <w:rsid w:val="00636CB6"/>
    <w:rsid w:val="0063728B"/>
    <w:rsid w:val="0063784F"/>
    <w:rsid w:val="00637B7A"/>
    <w:rsid w:val="006400F7"/>
    <w:rsid w:val="006403B9"/>
    <w:rsid w:val="0064076B"/>
    <w:rsid w:val="006408F0"/>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75A4"/>
    <w:rsid w:val="00647638"/>
    <w:rsid w:val="0064765E"/>
    <w:rsid w:val="00647749"/>
    <w:rsid w:val="006477F2"/>
    <w:rsid w:val="00647816"/>
    <w:rsid w:val="00647EC7"/>
    <w:rsid w:val="00650079"/>
    <w:rsid w:val="006504FD"/>
    <w:rsid w:val="0065069C"/>
    <w:rsid w:val="00650CAA"/>
    <w:rsid w:val="00650D45"/>
    <w:rsid w:val="006511AD"/>
    <w:rsid w:val="0065127D"/>
    <w:rsid w:val="006514CA"/>
    <w:rsid w:val="00652C55"/>
    <w:rsid w:val="0065371D"/>
    <w:rsid w:val="006540DF"/>
    <w:rsid w:val="0065467E"/>
    <w:rsid w:val="00654B9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601"/>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D9A"/>
    <w:rsid w:val="0067208E"/>
    <w:rsid w:val="00672D29"/>
    <w:rsid w:val="006732AC"/>
    <w:rsid w:val="0067369D"/>
    <w:rsid w:val="006744BE"/>
    <w:rsid w:val="00674940"/>
    <w:rsid w:val="0067520C"/>
    <w:rsid w:val="00675954"/>
    <w:rsid w:val="00675AC0"/>
    <w:rsid w:val="00675FB6"/>
    <w:rsid w:val="00676046"/>
    <w:rsid w:val="00676499"/>
    <w:rsid w:val="00676F7A"/>
    <w:rsid w:val="00677541"/>
    <w:rsid w:val="006777C2"/>
    <w:rsid w:val="00677880"/>
    <w:rsid w:val="00677D06"/>
    <w:rsid w:val="006804E4"/>
    <w:rsid w:val="0068092E"/>
    <w:rsid w:val="00681194"/>
    <w:rsid w:val="006817B8"/>
    <w:rsid w:val="00681851"/>
    <w:rsid w:val="006819D2"/>
    <w:rsid w:val="00681A51"/>
    <w:rsid w:val="00682140"/>
    <w:rsid w:val="006823F4"/>
    <w:rsid w:val="00682B0D"/>
    <w:rsid w:val="00682E24"/>
    <w:rsid w:val="006832CA"/>
    <w:rsid w:val="006838EC"/>
    <w:rsid w:val="00683A2B"/>
    <w:rsid w:val="00683CE8"/>
    <w:rsid w:val="006851EE"/>
    <w:rsid w:val="006851F5"/>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711"/>
    <w:rsid w:val="006B08A4"/>
    <w:rsid w:val="006B097C"/>
    <w:rsid w:val="006B2CDC"/>
    <w:rsid w:val="006B3D6F"/>
    <w:rsid w:val="006B4375"/>
    <w:rsid w:val="006B45A2"/>
    <w:rsid w:val="006B4B8E"/>
    <w:rsid w:val="006B53EF"/>
    <w:rsid w:val="006B552A"/>
    <w:rsid w:val="006B5645"/>
    <w:rsid w:val="006B5C55"/>
    <w:rsid w:val="006B5D68"/>
    <w:rsid w:val="006B6B68"/>
    <w:rsid w:val="006B6FBB"/>
    <w:rsid w:val="006B700C"/>
    <w:rsid w:val="006B71BC"/>
    <w:rsid w:val="006B76C0"/>
    <w:rsid w:val="006B7A01"/>
    <w:rsid w:val="006B7ADE"/>
    <w:rsid w:val="006B7CFC"/>
    <w:rsid w:val="006C03D9"/>
    <w:rsid w:val="006C0420"/>
    <w:rsid w:val="006C0506"/>
    <w:rsid w:val="006C0779"/>
    <w:rsid w:val="006C0980"/>
    <w:rsid w:val="006C0AFB"/>
    <w:rsid w:val="006C15B8"/>
    <w:rsid w:val="006C1F52"/>
    <w:rsid w:val="006C2F2E"/>
    <w:rsid w:val="006C35B6"/>
    <w:rsid w:val="006C3820"/>
    <w:rsid w:val="006C3B47"/>
    <w:rsid w:val="006C4772"/>
    <w:rsid w:val="006C47A7"/>
    <w:rsid w:val="006C4A84"/>
    <w:rsid w:val="006C5941"/>
    <w:rsid w:val="006C5AB2"/>
    <w:rsid w:val="006C5C7D"/>
    <w:rsid w:val="006C6259"/>
    <w:rsid w:val="006C6379"/>
    <w:rsid w:val="006C651A"/>
    <w:rsid w:val="006C6D79"/>
    <w:rsid w:val="006C6E4D"/>
    <w:rsid w:val="006C7607"/>
    <w:rsid w:val="006C76D7"/>
    <w:rsid w:val="006D04E8"/>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6A00"/>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CF3"/>
    <w:rsid w:val="006E5536"/>
    <w:rsid w:val="006E5721"/>
    <w:rsid w:val="006E61BC"/>
    <w:rsid w:val="006E624C"/>
    <w:rsid w:val="006E64A8"/>
    <w:rsid w:val="006E6AF3"/>
    <w:rsid w:val="006E7075"/>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1E74"/>
    <w:rsid w:val="00702589"/>
    <w:rsid w:val="0070266C"/>
    <w:rsid w:val="00702CC8"/>
    <w:rsid w:val="007030DF"/>
    <w:rsid w:val="00703B17"/>
    <w:rsid w:val="007040AA"/>
    <w:rsid w:val="007048F9"/>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A1F"/>
    <w:rsid w:val="00711E36"/>
    <w:rsid w:val="00712902"/>
    <w:rsid w:val="00714B43"/>
    <w:rsid w:val="00714B68"/>
    <w:rsid w:val="00714FE9"/>
    <w:rsid w:val="0071529C"/>
    <w:rsid w:val="007155E5"/>
    <w:rsid w:val="0071561E"/>
    <w:rsid w:val="00716017"/>
    <w:rsid w:val="00716D05"/>
    <w:rsid w:val="00717061"/>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7CB"/>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490"/>
    <w:rsid w:val="0073254A"/>
    <w:rsid w:val="007329D0"/>
    <w:rsid w:val="00732D7D"/>
    <w:rsid w:val="00733293"/>
    <w:rsid w:val="0073419A"/>
    <w:rsid w:val="00734460"/>
    <w:rsid w:val="007348D0"/>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23FC"/>
    <w:rsid w:val="00742DF1"/>
    <w:rsid w:val="00743535"/>
    <w:rsid w:val="0074368D"/>
    <w:rsid w:val="00743D5D"/>
    <w:rsid w:val="00744773"/>
    <w:rsid w:val="007454F5"/>
    <w:rsid w:val="0074581E"/>
    <w:rsid w:val="007463AA"/>
    <w:rsid w:val="007463B3"/>
    <w:rsid w:val="00746439"/>
    <w:rsid w:val="007465D7"/>
    <w:rsid w:val="00746BB8"/>
    <w:rsid w:val="00747AE6"/>
    <w:rsid w:val="007502EE"/>
    <w:rsid w:val="007503B9"/>
    <w:rsid w:val="00750B36"/>
    <w:rsid w:val="0075131F"/>
    <w:rsid w:val="00751614"/>
    <w:rsid w:val="007520D9"/>
    <w:rsid w:val="0075231F"/>
    <w:rsid w:val="007525A8"/>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5A8C"/>
    <w:rsid w:val="0075656F"/>
    <w:rsid w:val="00756643"/>
    <w:rsid w:val="0075676C"/>
    <w:rsid w:val="00756793"/>
    <w:rsid w:val="00756AAB"/>
    <w:rsid w:val="00756F98"/>
    <w:rsid w:val="00757303"/>
    <w:rsid w:val="0075798A"/>
    <w:rsid w:val="00757DAA"/>
    <w:rsid w:val="00760078"/>
    <w:rsid w:val="00760957"/>
    <w:rsid w:val="00761625"/>
    <w:rsid w:val="00761D2E"/>
    <w:rsid w:val="00761D98"/>
    <w:rsid w:val="007626A8"/>
    <w:rsid w:val="00762A8A"/>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55"/>
    <w:rsid w:val="00770B9F"/>
    <w:rsid w:val="00771014"/>
    <w:rsid w:val="00771E39"/>
    <w:rsid w:val="00772029"/>
    <w:rsid w:val="007721E8"/>
    <w:rsid w:val="0077231D"/>
    <w:rsid w:val="0077270C"/>
    <w:rsid w:val="00772AEB"/>
    <w:rsid w:val="00772C08"/>
    <w:rsid w:val="007738A9"/>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6BA"/>
    <w:rsid w:val="00783D20"/>
    <w:rsid w:val="00784C4F"/>
    <w:rsid w:val="00784EEA"/>
    <w:rsid w:val="0078505E"/>
    <w:rsid w:val="00785328"/>
    <w:rsid w:val="00785762"/>
    <w:rsid w:val="00785992"/>
    <w:rsid w:val="00785DB1"/>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007"/>
    <w:rsid w:val="0079674B"/>
    <w:rsid w:val="00796E14"/>
    <w:rsid w:val="00797107"/>
    <w:rsid w:val="00797FCA"/>
    <w:rsid w:val="007A049F"/>
    <w:rsid w:val="007A09AB"/>
    <w:rsid w:val="007A0D97"/>
    <w:rsid w:val="007A0F08"/>
    <w:rsid w:val="007A1151"/>
    <w:rsid w:val="007A1767"/>
    <w:rsid w:val="007A1831"/>
    <w:rsid w:val="007A1A50"/>
    <w:rsid w:val="007A1ABB"/>
    <w:rsid w:val="007A1CCD"/>
    <w:rsid w:val="007A2606"/>
    <w:rsid w:val="007A2DAD"/>
    <w:rsid w:val="007A2DEE"/>
    <w:rsid w:val="007A3F34"/>
    <w:rsid w:val="007A421B"/>
    <w:rsid w:val="007A456C"/>
    <w:rsid w:val="007A4CB6"/>
    <w:rsid w:val="007A5039"/>
    <w:rsid w:val="007A53B0"/>
    <w:rsid w:val="007A5433"/>
    <w:rsid w:val="007A54C8"/>
    <w:rsid w:val="007A5832"/>
    <w:rsid w:val="007A5F46"/>
    <w:rsid w:val="007A5F48"/>
    <w:rsid w:val="007A6441"/>
    <w:rsid w:val="007A68E4"/>
    <w:rsid w:val="007A7389"/>
    <w:rsid w:val="007A7EB3"/>
    <w:rsid w:val="007B059D"/>
    <w:rsid w:val="007B1C5A"/>
    <w:rsid w:val="007B34EA"/>
    <w:rsid w:val="007B3825"/>
    <w:rsid w:val="007B394A"/>
    <w:rsid w:val="007B4313"/>
    <w:rsid w:val="007B44DC"/>
    <w:rsid w:val="007B4FCD"/>
    <w:rsid w:val="007B53E3"/>
    <w:rsid w:val="007B546B"/>
    <w:rsid w:val="007C1082"/>
    <w:rsid w:val="007C1A4A"/>
    <w:rsid w:val="007C1CF3"/>
    <w:rsid w:val="007C1E72"/>
    <w:rsid w:val="007C1F41"/>
    <w:rsid w:val="007C2148"/>
    <w:rsid w:val="007C2A74"/>
    <w:rsid w:val="007C344B"/>
    <w:rsid w:val="007C3D01"/>
    <w:rsid w:val="007C424A"/>
    <w:rsid w:val="007C5084"/>
    <w:rsid w:val="007C515B"/>
    <w:rsid w:val="007C517A"/>
    <w:rsid w:val="007C54EF"/>
    <w:rsid w:val="007C637A"/>
    <w:rsid w:val="007C675B"/>
    <w:rsid w:val="007C6A23"/>
    <w:rsid w:val="007C6B95"/>
    <w:rsid w:val="007C6D44"/>
    <w:rsid w:val="007C7257"/>
    <w:rsid w:val="007C7DED"/>
    <w:rsid w:val="007D06EA"/>
    <w:rsid w:val="007D1C03"/>
    <w:rsid w:val="007D24CD"/>
    <w:rsid w:val="007D28DA"/>
    <w:rsid w:val="007D3397"/>
    <w:rsid w:val="007D4033"/>
    <w:rsid w:val="007D4599"/>
    <w:rsid w:val="007D55F5"/>
    <w:rsid w:val="007D59A2"/>
    <w:rsid w:val="007D6E3E"/>
    <w:rsid w:val="007D7C49"/>
    <w:rsid w:val="007D7D44"/>
    <w:rsid w:val="007D7DE5"/>
    <w:rsid w:val="007D7F36"/>
    <w:rsid w:val="007E05E7"/>
    <w:rsid w:val="007E063A"/>
    <w:rsid w:val="007E0DFD"/>
    <w:rsid w:val="007E0FA8"/>
    <w:rsid w:val="007E24D0"/>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16B"/>
    <w:rsid w:val="007F5331"/>
    <w:rsid w:val="007F53A2"/>
    <w:rsid w:val="007F5869"/>
    <w:rsid w:val="007F5B74"/>
    <w:rsid w:val="007F6776"/>
    <w:rsid w:val="007F695C"/>
    <w:rsid w:val="007F720E"/>
    <w:rsid w:val="007F727D"/>
    <w:rsid w:val="007F7AF6"/>
    <w:rsid w:val="0080071A"/>
    <w:rsid w:val="00800CF6"/>
    <w:rsid w:val="00800E69"/>
    <w:rsid w:val="008010B2"/>
    <w:rsid w:val="0080144A"/>
    <w:rsid w:val="008014A7"/>
    <w:rsid w:val="008019BD"/>
    <w:rsid w:val="00802028"/>
    <w:rsid w:val="008023A3"/>
    <w:rsid w:val="00802587"/>
    <w:rsid w:val="00802791"/>
    <w:rsid w:val="00802AB3"/>
    <w:rsid w:val="00802E58"/>
    <w:rsid w:val="008045FD"/>
    <w:rsid w:val="00804B9E"/>
    <w:rsid w:val="00804DA5"/>
    <w:rsid w:val="00804FA7"/>
    <w:rsid w:val="00805BDA"/>
    <w:rsid w:val="00805EC9"/>
    <w:rsid w:val="00806213"/>
    <w:rsid w:val="0080627B"/>
    <w:rsid w:val="0080729F"/>
    <w:rsid w:val="00807BB0"/>
    <w:rsid w:val="00807D7F"/>
    <w:rsid w:val="00810264"/>
    <w:rsid w:val="00810AD2"/>
    <w:rsid w:val="00810B26"/>
    <w:rsid w:val="00810C56"/>
    <w:rsid w:val="00811993"/>
    <w:rsid w:val="00811A27"/>
    <w:rsid w:val="008120EF"/>
    <w:rsid w:val="00812570"/>
    <w:rsid w:val="00812F61"/>
    <w:rsid w:val="008140F3"/>
    <w:rsid w:val="0081417A"/>
    <w:rsid w:val="00814BDA"/>
    <w:rsid w:val="008150CC"/>
    <w:rsid w:val="00815679"/>
    <w:rsid w:val="00815854"/>
    <w:rsid w:val="00816896"/>
    <w:rsid w:val="00817018"/>
    <w:rsid w:val="008170CA"/>
    <w:rsid w:val="0081730B"/>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4FD0"/>
    <w:rsid w:val="008251BF"/>
    <w:rsid w:val="0082539D"/>
    <w:rsid w:val="00825561"/>
    <w:rsid w:val="00825673"/>
    <w:rsid w:val="00825BC0"/>
    <w:rsid w:val="00826DBD"/>
    <w:rsid w:val="00826E38"/>
    <w:rsid w:val="0082744B"/>
    <w:rsid w:val="00827EAD"/>
    <w:rsid w:val="0083036C"/>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60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A1"/>
    <w:rsid w:val="008456BA"/>
    <w:rsid w:val="008458CB"/>
    <w:rsid w:val="008458E9"/>
    <w:rsid w:val="0084616E"/>
    <w:rsid w:val="008461DA"/>
    <w:rsid w:val="008462A3"/>
    <w:rsid w:val="0084687C"/>
    <w:rsid w:val="00847396"/>
    <w:rsid w:val="00847516"/>
    <w:rsid w:val="008479DC"/>
    <w:rsid w:val="00847F28"/>
    <w:rsid w:val="0085034F"/>
    <w:rsid w:val="00850417"/>
    <w:rsid w:val="008505B3"/>
    <w:rsid w:val="008507E1"/>
    <w:rsid w:val="00850875"/>
    <w:rsid w:val="00850BFF"/>
    <w:rsid w:val="00850CB3"/>
    <w:rsid w:val="00850F6F"/>
    <w:rsid w:val="00851921"/>
    <w:rsid w:val="008521B9"/>
    <w:rsid w:val="008522AA"/>
    <w:rsid w:val="00853088"/>
    <w:rsid w:val="008545BB"/>
    <w:rsid w:val="0085507D"/>
    <w:rsid w:val="00855802"/>
    <w:rsid w:val="00855E79"/>
    <w:rsid w:val="0085634D"/>
    <w:rsid w:val="0085654A"/>
    <w:rsid w:val="00856A40"/>
    <w:rsid w:val="00856BA3"/>
    <w:rsid w:val="00856F9D"/>
    <w:rsid w:val="0086082A"/>
    <w:rsid w:val="00860E96"/>
    <w:rsid w:val="00860F3C"/>
    <w:rsid w:val="008610BA"/>
    <w:rsid w:val="008616B0"/>
    <w:rsid w:val="0086180E"/>
    <w:rsid w:val="00861F46"/>
    <w:rsid w:val="008626CA"/>
    <w:rsid w:val="008626E2"/>
    <w:rsid w:val="00862B9D"/>
    <w:rsid w:val="008634BA"/>
    <w:rsid w:val="00863892"/>
    <w:rsid w:val="008640BA"/>
    <w:rsid w:val="008647D5"/>
    <w:rsid w:val="00864917"/>
    <w:rsid w:val="00864A52"/>
    <w:rsid w:val="00864B17"/>
    <w:rsid w:val="00864D02"/>
    <w:rsid w:val="00864DB8"/>
    <w:rsid w:val="00864F1F"/>
    <w:rsid w:val="008654D4"/>
    <w:rsid w:val="00865564"/>
    <w:rsid w:val="0086588F"/>
    <w:rsid w:val="00866056"/>
    <w:rsid w:val="00866FE4"/>
    <w:rsid w:val="00867258"/>
    <w:rsid w:val="00867A83"/>
    <w:rsid w:val="00870403"/>
    <w:rsid w:val="00870B54"/>
    <w:rsid w:val="00870BBF"/>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77584"/>
    <w:rsid w:val="00877CDF"/>
    <w:rsid w:val="00880C24"/>
    <w:rsid w:val="00880CBD"/>
    <w:rsid w:val="00880E09"/>
    <w:rsid w:val="0088112A"/>
    <w:rsid w:val="00881C70"/>
    <w:rsid w:val="00882719"/>
    <w:rsid w:val="008827C3"/>
    <w:rsid w:val="00883938"/>
    <w:rsid w:val="008844F1"/>
    <w:rsid w:val="008849CE"/>
    <w:rsid w:val="00884EE7"/>
    <w:rsid w:val="0088505E"/>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3A27"/>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EC7"/>
    <w:rsid w:val="008B309D"/>
    <w:rsid w:val="008B3177"/>
    <w:rsid w:val="008B31F6"/>
    <w:rsid w:val="008B33D9"/>
    <w:rsid w:val="008B356F"/>
    <w:rsid w:val="008B46FF"/>
    <w:rsid w:val="008B4DE7"/>
    <w:rsid w:val="008B552C"/>
    <w:rsid w:val="008B56BA"/>
    <w:rsid w:val="008B5731"/>
    <w:rsid w:val="008B5A99"/>
    <w:rsid w:val="008B5B50"/>
    <w:rsid w:val="008B5EF6"/>
    <w:rsid w:val="008B62BE"/>
    <w:rsid w:val="008B66CC"/>
    <w:rsid w:val="008B711E"/>
    <w:rsid w:val="008B71C5"/>
    <w:rsid w:val="008B7326"/>
    <w:rsid w:val="008B75F2"/>
    <w:rsid w:val="008B776C"/>
    <w:rsid w:val="008B7BA3"/>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5FA"/>
    <w:rsid w:val="008C76DD"/>
    <w:rsid w:val="008C7B9D"/>
    <w:rsid w:val="008D00AB"/>
    <w:rsid w:val="008D0C27"/>
    <w:rsid w:val="008D1081"/>
    <w:rsid w:val="008D114E"/>
    <w:rsid w:val="008D11C3"/>
    <w:rsid w:val="008D1C38"/>
    <w:rsid w:val="008D2403"/>
    <w:rsid w:val="008D24E7"/>
    <w:rsid w:val="008D2C0E"/>
    <w:rsid w:val="008D327E"/>
    <w:rsid w:val="008D34D4"/>
    <w:rsid w:val="008D3923"/>
    <w:rsid w:val="008D3AB6"/>
    <w:rsid w:val="008D40B7"/>
    <w:rsid w:val="008D42DA"/>
    <w:rsid w:val="008D4541"/>
    <w:rsid w:val="008D458E"/>
    <w:rsid w:val="008D4602"/>
    <w:rsid w:val="008D4CB8"/>
    <w:rsid w:val="008D4CC0"/>
    <w:rsid w:val="008D4E3D"/>
    <w:rsid w:val="008D4ED3"/>
    <w:rsid w:val="008D5688"/>
    <w:rsid w:val="008D599A"/>
    <w:rsid w:val="008D5C72"/>
    <w:rsid w:val="008D6118"/>
    <w:rsid w:val="008D61B4"/>
    <w:rsid w:val="008D61D0"/>
    <w:rsid w:val="008D6A43"/>
    <w:rsid w:val="008D7282"/>
    <w:rsid w:val="008D7286"/>
    <w:rsid w:val="008D7765"/>
    <w:rsid w:val="008D77EF"/>
    <w:rsid w:val="008D7967"/>
    <w:rsid w:val="008D7A2F"/>
    <w:rsid w:val="008E0967"/>
    <w:rsid w:val="008E14CB"/>
    <w:rsid w:val="008E15FA"/>
    <w:rsid w:val="008E1E83"/>
    <w:rsid w:val="008E2683"/>
    <w:rsid w:val="008E294A"/>
    <w:rsid w:val="008E35AE"/>
    <w:rsid w:val="008E3906"/>
    <w:rsid w:val="008E3D19"/>
    <w:rsid w:val="008E44CF"/>
    <w:rsid w:val="008E4AD0"/>
    <w:rsid w:val="008E56F0"/>
    <w:rsid w:val="008E5967"/>
    <w:rsid w:val="008E62EE"/>
    <w:rsid w:val="008E7264"/>
    <w:rsid w:val="008F06DC"/>
    <w:rsid w:val="008F071D"/>
    <w:rsid w:val="008F0C43"/>
    <w:rsid w:val="008F16FC"/>
    <w:rsid w:val="008F1759"/>
    <w:rsid w:val="008F25E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0EF"/>
    <w:rsid w:val="008F53A4"/>
    <w:rsid w:val="008F53E4"/>
    <w:rsid w:val="008F57DB"/>
    <w:rsid w:val="008F5F06"/>
    <w:rsid w:val="008F64D9"/>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0BC"/>
    <w:rsid w:val="009207C1"/>
    <w:rsid w:val="00920B6D"/>
    <w:rsid w:val="0092124D"/>
    <w:rsid w:val="00921BBE"/>
    <w:rsid w:val="00921D3B"/>
    <w:rsid w:val="00921FF4"/>
    <w:rsid w:val="00922059"/>
    <w:rsid w:val="0092234D"/>
    <w:rsid w:val="00922508"/>
    <w:rsid w:val="009226E5"/>
    <w:rsid w:val="00923509"/>
    <w:rsid w:val="0092352A"/>
    <w:rsid w:val="00923563"/>
    <w:rsid w:val="009237E4"/>
    <w:rsid w:val="009238E3"/>
    <w:rsid w:val="00923B6B"/>
    <w:rsid w:val="00924009"/>
    <w:rsid w:val="009242DC"/>
    <w:rsid w:val="0092464E"/>
    <w:rsid w:val="00924B87"/>
    <w:rsid w:val="00924F54"/>
    <w:rsid w:val="00925083"/>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8AC"/>
    <w:rsid w:val="00932F17"/>
    <w:rsid w:val="00933126"/>
    <w:rsid w:val="009332CB"/>
    <w:rsid w:val="0093379F"/>
    <w:rsid w:val="00933D00"/>
    <w:rsid w:val="009348A0"/>
    <w:rsid w:val="00934D46"/>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F64"/>
    <w:rsid w:val="00944035"/>
    <w:rsid w:val="009441CD"/>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8D4"/>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06F1"/>
    <w:rsid w:val="009608E1"/>
    <w:rsid w:val="009610F3"/>
    <w:rsid w:val="0096110A"/>
    <w:rsid w:val="00961385"/>
    <w:rsid w:val="00961A04"/>
    <w:rsid w:val="009629D0"/>
    <w:rsid w:val="00963078"/>
    <w:rsid w:val="00964141"/>
    <w:rsid w:val="00964825"/>
    <w:rsid w:val="00964D76"/>
    <w:rsid w:val="00964F2C"/>
    <w:rsid w:val="00965817"/>
    <w:rsid w:val="00965BF7"/>
    <w:rsid w:val="00965D50"/>
    <w:rsid w:val="009660A5"/>
    <w:rsid w:val="009668BA"/>
    <w:rsid w:val="009674AF"/>
    <w:rsid w:val="00967C1C"/>
    <w:rsid w:val="009701E9"/>
    <w:rsid w:val="0097042E"/>
    <w:rsid w:val="00970940"/>
    <w:rsid w:val="009713EC"/>
    <w:rsid w:val="0097167E"/>
    <w:rsid w:val="00971C4A"/>
    <w:rsid w:val="00971DB8"/>
    <w:rsid w:val="00971E6A"/>
    <w:rsid w:val="009723C4"/>
    <w:rsid w:val="00972B15"/>
    <w:rsid w:val="009734CE"/>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2D8"/>
    <w:rsid w:val="00980726"/>
    <w:rsid w:val="009809C0"/>
    <w:rsid w:val="009818E1"/>
    <w:rsid w:val="0098198D"/>
    <w:rsid w:val="009823AD"/>
    <w:rsid w:val="00982A43"/>
    <w:rsid w:val="0098396C"/>
    <w:rsid w:val="00983D55"/>
    <w:rsid w:val="00983E31"/>
    <w:rsid w:val="0098448E"/>
    <w:rsid w:val="009846FC"/>
    <w:rsid w:val="009856F2"/>
    <w:rsid w:val="00985EF2"/>
    <w:rsid w:val="0098616A"/>
    <w:rsid w:val="009861DC"/>
    <w:rsid w:val="00986CC0"/>
    <w:rsid w:val="00990314"/>
    <w:rsid w:val="009904E4"/>
    <w:rsid w:val="009909AD"/>
    <w:rsid w:val="00990D0C"/>
    <w:rsid w:val="00990DBC"/>
    <w:rsid w:val="00991194"/>
    <w:rsid w:val="009918C3"/>
    <w:rsid w:val="0099196F"/>
    <w:rsid w:val="00991A9E"/>
    <w:rsid w:val="00991B14"/>
    <w:rsid w:val="009920EB"/>
    <w:rsid w:val="00992548"/>
    <w:rsid w:val="00992E32"/>
    <w:rsid w:val="009930D0"/>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216"/>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3997"/>
    <w:rsid w:val="009B3F6E"/>
    <w:rsid w:val="009B4499"/>
    <w:rsid w:val="009B4A2D"/>
    <w:rsid w:val="009B4AC1"/>
    <w:rsid w:val="009B52B2"/>
    <w:rsid w:val="009B5E7D"/>
    <w:rsid w:val="009B5E80"/>
    <w:rsid w:val="009B5E88"/>
    <w:rsid w:val="009B64A9"/>
    <w:rsid w:val="009B6587"/>
    <w:rsid w:val="009B6D7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C7E06"/>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DE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8EC"/>
    <w:rsid w:val="009E7CC1"/>
    <w:rsid w:val="009E7F1A"/>
    <w:rsid w:val="009F0186"/>
    <w:rsid w:val="009F01EB"/>
    <w:rsid w:val="009F0305"/>
    <w:rsid w:val="009F0CE0"/>
    <w:rsid w:val="009F1F11"/>
    <w:rsid w:val="009F20B8"/>
    <w:rsid w:val="009F25FF"/>
    <w:rsid w:val="009F2C1C"/>
    <w:rsid w:val="009F3C0A"/>
    <w:rsid w:val="009F3E80"/>
    <w:rsid w:val="009F4030"/>
    <w:rsid w:val="009F4189"/>
    <w:rsid w:val="009F4821"/>
    <w:rsid w:val="009F4839"/>
    <w:rsid w:val="009F4948"/>
    <w:rsid w:val="009F4AD6"/>
    <w:rsid w:val="009F4D80"/>
    <w:rsid w:val="009F4E3E"/>
    <w:rsid w:val="009F56FD"/>
    <w:rsid w:val="009F598D"/>
    <w:rsid w:val="009F5A5B"/>
    <w:rsid w:val="009F67FB"/>
    <w:rsid w:val="009F6EB8"/>
    <w:rsid w:val="009F7B39"/>
    <w:rsid w:val="009F7CA6"/>
    <w:rsid w:val="009F7DE4"/>
    <w:rsid w:val="00A0034F"/>
    <w:rsid w:val="00A01229"/>
    <w:rsid w:val="00A016F0"/>
    <w:rsid w:val="00A01947"/>
    <w:rsid w:val="00A01F91"/>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0884"/>
    <w:rsid w:val="00A1125A"/>
    <w:rsid w:val="00A11548"/>
    <w:rsid w:val="00A11656"/>
    <w:rsid w:val="00A119A5"/>
    <w:rsid w:val="00A11C9A"/>
    <w:rsid w:val="00A1247F"/>
    <w:rsid w:val="00A12829"/>
    <w:rsid w:val="00A136B2"/>
    <w:rsid w:val="00A13BE5"/>
    <w:rsid w:val="00A13D50"/>
    <w:rsid w:val="00A14127"/>
    <w:rsid w:val="00A151A6"/>
    <w:rsid w:val="00A15755"/>
    <w:rsid w:val="00A159F3"/>
    <w:rsid w:val="00A15B8F"/>
    <w:rsid w:val="00A160A0"/>
    <w:rsid w:val="00A161A5"/>
    <w:rsid w:val="00A161BA"/>
    <w:rsid w:val="00A161E8"/>
    <w:rsid w:val="00A1634F"/>
    <w:rsid w:val="00A163DC"/>
    <w:rsid w:val="00A16C5C"/>
    <w:rsid w:val="00A16EBA"/>
    <w:rsid w:val="00A16F7A"/>
    <w:rsid w:val="00A1719B"/>
    <w:rsid w:val="00A17436"/>
    <w:rsid w:val="00A204CB"/>
    <w:rsid w:val="00A20DAE"/>
    <w:rsid w:val="00A21186"/>
    <w:rsid w:val="00A212E5"/>
    <w:rsid w:val="00A217F0"/>
    <w:rsid w:val="00A21D65"/>
    <w:rsid w:val="00A221AA"/>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047"/>
    <w:rsid w:val="00A27297"/>
    <w:rsid w:val="00A275E1"/>
    <w:rsid w:val="00A27977"/>
    <w:rsid w:val="00A30939"/>
    <w:rsid w:val="00A30C85"/>
    <w:rsid w:val="00A30F1E"/>
    <w:rsid w:val="00A31368"/>
    <w:rsid w:val="00A32733"/>
    <w:rsid w:val="00A34C00"/>
    <w:rsid w:val="00A3502C"/>
    <w:rsid w:val="00A355ED"/>
    <w:rsid w:val="00A3570C"/>
    <w:rsid w:val="00A358BC"/>
    <w:rsid w:val="00A36095"/>
    <w:rsid w:val="00A360BD"/>
    <w:rsid w:val="00A3613D"/>
    <w:rsid w:val="00A363ED"/>
    <w:rsid w:val="00A36589"/>
    <w:rsid w:val="00A367B3"/>
    <w:rsid w:val="00A36913"/>
    <w:rsid w:val="00A369AA"/>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1E0"/>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623"/>
    <w:rsid w:val="00A63ED3"/>
    <w:rsid w:val="00A641AF"/>
    <w:rsid w:val="00A64602"/>
    <w:rsid w:val="00A646C7"/>
    <w:rsid w:val="00A64D6A"/>
    <w:rsid w:val="00A64EA2"/>
    <w:rsid w:val="00A650A3"/>
    <w:rsid w:val="00A651A5"/>
    <w:rsid w:val="00A65D91"/>
    <w:rsid w:val="00A65F47"/>
    <w:rsid w:val="00A66497"/>
    <w:rsid w:val="00A664E4"/>
    <w:rsid w:val="00A668BE"/>
    <w:rsid w:val="00A668FD"/>
    <w:rsid w:val="00A67242"/>
    <w:rsid w:val="00A6732F"/>
    <w:rsid w:val="00A6741A"/>
    <w:rsid w:val="00A67531"/>
    <w:rsid w:val="00A70B7F"/>
    <w:rsid w:val="00A70D91"/>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AF2"/>
    <w:rsid w:val="00A76D84"/>
    <w:rsid w:val="00A77168"/>
    <w:rsid w:val="00A7747C"/>
    <w:rsid w:val="00A7796C"/>
    <w:rsid w:val="00A77A37"/>
    <w:rsid w:val="00A77D3F"/>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3CA"/>
    <w:rsid w:val="00A844B1"/>
    <w:rsid w:val="00A846AC"/>
    <w:rsid w:val="00A84ACC"/>
    <w:rsid w:val="00A84B6A"/>
    <w:rsid w:val="00A84D4E"/>
    <w:rsid w:val="00A84EDF"/>
    <w:rsid w:val="00A8580A"/>
    <w:rsid w:val="00A86F3D"/>
    <w:rsid w:val="00A87345"/>
    <w:rsid w:val="00A875D0"/>
    <w:rsid w:val="00A87DB8"/>
    <w:rsid w:val="00A87E99"/>
    <w:rsid w:val="00A901E8"/>
    <w:rsid w:val="00A90345"/>
    <w:rsid w:val="00A91176"/>
    <w:rsid w:val="00A91609"/>
    <w:rsid w:val="00A91910"/>
    <w:rsid w:val="00A91FB3"/>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076"/>
    <w:rsid w:val="00AA5A9C"/>
    <w:rsid w:val="00AA5D76"/>
    <w:rsid w:val="00AA6272"/>
    <w:rsid w:val="00AA6373"/>
    <w:rsid w:val="00AA6BF6"/>
    <w:rsid w:val="00AA6CD6"/>
    <w:rsid w:val="00AA7C90"/>
    <w:rsid w:val="00AB0375"/>
    <w:rsid w:val="00AB04DC"/>
    <w:rsid w:val="00AB068B"/>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1F4A"/>
    <w:rsid w:val="00AC22A2"/>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CB5"/>
    <w:rsid w:val="00AD1DE1"/>
    <w:rsid w:val="00AD1E26"/>
    <w:rsid w:val="00AD2524"/>
    <w:rsid w:val="00AD29F6"/>
    <w:rsid w:val="00AD2B2B"/>
    <w:rsid w:val="00AD2F30"/>
    <w:rsid w:val="00AD33D8"/>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4660"/>
    <w:rsid w:val="00AE5101"/>
    <w:rsid w:val="00AE56CB"/>
    <w:rsid w:val="00AE5C31"/>
    <w:rsid w:val="00AE5E1E"/>
    <w:rsid w:val="00AE5F03"/>
    <w:rsid w:val="00AE7058"/>
    <w:rsid w:val="00AE7660"/>
    <w:rsid w:val="00AF015B"/>
    <w:rsid w:val="00AF03A8"/>
    <w:rsid w:val="00AF04E6"/>
    <w:rsid w:val="00AF0865"/>
    <w:rsid w:val="00AF0ABE"/>
    <w:rsid w:val="00AF0B11"/>
    <w:rsid w:val="00AF1441"/>
    <w:rsid w:val="00AF1469"/>
    <w:rsid w:val="00AF19D5"/>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4CB"/>
    <w:rsid w:val="00AF571D"/>
    <w:rsid w:val="00AF6081"/>
    <w:rsid w:val="00AF6951"/>
    <w:rsid w:val="00B00086"/>
    <w:rsid w:val="00B002AA"/>
    <w:rsid w:val="00B0063D"/>
    <w:rsid w:val="00B00928"/>
    <w:rsid w:val="00B00B6C"/>
    <w:rsid w:val="00B01D5A"/>
    <w:rsid w:val="00B01D5F"/>
    <w:rsid w:val="00B02336"/>
    <w:rsid w:val="00B0326E"/>
    <w:rsid w:val="00B03C81"/>
    <w:rsid w:val="00B03CE6"/>
    <w:rsid w:val="00B03EB9"/>
    <w:rsid w:val="00B04368"/>
    <w:rsid w:val="00B04F42"/>
    <w:rsid w:val="00B04F5E"/>
    <w:rsid w:val="00B05173"/>
    <w:rsid w:val="00B06760"/>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A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2C"/>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940"/>
    <w:rsid w:val="00B36A4A"/>
    <w:rsid w:val="00B36D16"/>
    <w:rsid w:val="00B36F1D"/>
    <w:rsid w:val="00B37907"/>
    <w:rsid w:val="00B40B20"/>
    <w:rsid w:val="00B40CF3"/>
    <w:rsid w:val="00B4134E"/>
    <w:rsid w:val="00B414BC"/>
    <w:rsid w:val="00B41554"/>
    <w:rsid w:val="00B41722"/>
    <w:rsid w:val="00B420E7"/>
    <w:rsid w:val="00B421E9"/>
    <w:rsid w:val="00B42217"/>
    <w:rsid w:val="00B42426"/>
    <w:rsid w:val="00B42800"/>
    <w:rsid w:val="00B43C59"/>
    <w:rsid w:val="00B44616"/>
    <w:rsid w:val="00B45230"/>
    <w:rsid w:val="00B45BA1"/>
    <w:rsid w:val="00B461EE"/>
    <w:rsid w:val="00B470FA"/>
    <w:rsid w:val="00B47194"/>
    <w:rsid w:val="00B471B0"/>
    <w:rsid w:val="00B4722F"/>
    <w:rsid w:val="00B473E7"/>
    <w:rsid w:val="00B47657"/>
    <w:rsid w:val="00B504AD"/>
    <w:rsid w:val="00B508C2"/>
    <w:rsid w:val="00B50B8A"/>
    <w:rsid w:val="00B50F4E"/>
    <w:rsid w:val="00B51574"/>
    <w:rsid w:val="00B51992"/>
    <w:rsid w:val="00B51EB9"/>
    <w:rsid w:val="00B526A8"/>
    <w:rsid w:val="00B527D0"/>
    <w:rsid w:val="00B527EC"/>
    <w:rsid w:val="00B52A11"/>
    <w:rsid w:val="00B531C9"/>
    <w:rsid w:val="00B53614"/>
    <w:rsid w:val="00B53A05"/>
    <w:rsid w:val="00B53BF1"/>
    <w:rsid w:val="00B53C0C"/>
    <w:rsid w:val="00B53F47"/>
    <w:rsid w:val="00B54168"/>
    <w:rsid w:val="00B541E3"/>
    <w:rsid w:val="00B542CF"/>
    <w:rsid w:val="00B54C9C"/>
    <w:rsid w:val="00B54DE9"/>
    <w:rsid w:val="00B54EBA"/>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787"/>
    <w:rsid w:val="00B60F6A"/>
    <w:rsid w:val="00B61201"/>
    <w:rsid w:val="00B6170E"/>
    <w:rsid w:val="00B62702"/>
    <w:rsid w:val="00B628AC"/>
    <w:rsid w:val="00B6302B"/>
    <w:rsid w:val="00B63170"/>
    <w:rsid w:val="00B63756"/>
    <w:rsid w:val="00B63841"/>
    <w:rsid w:val="00B646D2"/>
    <w:rsid w:val="00B64878"/>
    <w:rsid w:val="00B65BDC"/>
    <w:rsid w:val="00B66520"/>
    <w:rsid w:val="00B673F9"/>
    <w:rsid w:val="00B6793B"/>
    <w:rsid w:val="00B67CD7"/>
    <w:rsid w:val="00B7100C"/>
    <w:rsid w:val="00B7154C"/>
    <w:rsid w:val="00B71A47"/>
    <w:rsid w:val="00B71A97"/>
    <w:rsid w:val="00B71D23"/>
    <w:rsid w:val="00B72970"/>
    <w:rsid w:val="00B7384A"/>
    <w:rsid w:val="00B73F25"/>
    <w:rsid w:val="00B751A1"/>
    <w:rsid w:val="00B75663"/>
    <w:rsid w:val="00B75838"/>
    <w:rsid w:val="00B76D52"/>
    <w:rsid w:val="00B772AF"/>
    <w:rsid w:val="00B77BB7"/>
    <w:rsid w:val="00B803E6"/>
    <w:rsid w:val="00B80D8C"/>
    <w:rsid w:val="00B80DCD"/>
    <w:rsid w:val="00B8201A"/>
    <w:rsid w:val="00B823DF"/>
    <w:rsid w:val="00B82819"/>
    <w:rsid w:val="00B83685"/>
    <w:rsid w:val="00B83FF2"/>
    <w:rsid w:val="00B84839"/>
    <w:rsid w:val="00B84BA1"/>
    <w:rsid w:val="00B84F03"/>
    <w:rsid w:val="00B8531E"/>
    <w:rsid w:val="00B85937"/>
    <w:rsid w:val="00B86586"/>
    <w:rsid w:val="00B86BEA"/>
    <w:rsid w:val="00B879E1"/>
    <w:rsid w:val="00B87ED0"/>
    <w:rsid w:val="00B90FD2"/>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3CE"/>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DC5"/>
    <w:rsid w:val="00BC1E3E"/>
    <w:rsid w:val="00BC27B7"/>
    <w:rsid w:val="00BC2822"/>
    <w:rsid w:val="00BC35A7"/>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C28"/>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881"/>
    <w:rsid w:val="00BE79D4"/>
    <w:rsid w:val="00BF070B"/>
    <w:rsid w:val="00BF13B6"/>
    <w:rsid w:val="00BF17EB"/>
    <w:rsid w:val="00BF184B"/>
    <w:rsid w:val="00BF1927"/>
    <w:rsid w:val="00BF21AF"/>
    <w:rsid w:val="00BF2D40"/>
    <w:rsid w:val="00BF3619"/>
    <w:rsid w:val="00BF36D6"/>
    <w:rsid w:val="00BF37D8"/>
    <w:rsid w:val="00BF3B3F"/>
    <w:rsid w:val="00BF3D04"/>
    <w:rsid w:val="00BF4360"/>
    <w:rsid w:val="00BF43AE"/>
    <w:rsid w:val="00BF4B3A"/>
    <w:rsid w:val="00BF53D8"/>
    <w:rsid w:val="00BF5433"/>
    <w:rsid w:val="00BF56D6"/>
    <w:rsid w:val="00BF5A45"/>
    <w:rsid w:val="00BF5CEE"/>
    <w:rsid w:val="00BF6158"/>
    <w:rsid w:val="00BF694E"/>
    <w:rsid w:val="00BF77D5"/>
    <w:rsid w:val="00BF7CB3"/>
    <w:rsid w:val="00BF7E51"/>
    <w:rsid w:val="00C0009C"/>
    <w:rsid w:val="00C00354"/>
    <w:rsid w:val="00C00AFB"/>
    <w:rsid w:val="00C01273"/>
    <w:rsid w:val="00C018A5"/>
    <w:rsid w:val="00C01B69"/>
    <w:rsid w:val="00C01E7B"/>
    <w:rsid w:val="00C027B7"/>
    <w:rsid w:val="00C02B34"/>
    <w:rsid w:val="00C03FA5"/>
    <w:rsid w:val="00C03FBA"/>
    <w:rsid w:val="00C04FB2"/>
    <w:rsid w:val="00C05963"/>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56B"/>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19D9"/>
    <w:rsid w:val="00C326BF"/>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2A8"/>
    <w:rsid w:val="00C5265A"/>
    <w:rsid w:val="00C52B23"/>
    <w:rsid w:val="00C52FEA"/>
    <w:rsid w:val="00C53CD2"/>
    <w:rsid w:val="00C540FB"/>
    <w:rsid w:val="00C54668"/>
    <w:rsid w:val="00C54C98"/>
    <w:rsid w:val="00C556D1"/>
    <w:rsid w:val="00C55745"/>
    <w:rsid w:val="00C55A06"/>
    <w:rsid w:val="00C55F26"/>
    <w:rsid w:val="00C56225"/>
    <w:rsid w:val="00C56831"/>
    <w:rsid w:val="00C57751"/>
    <w:rsid w:val="00C57C91"/>
    <w:rsid w:val="00C57E31"/>
    <w:rsid w:val="00C57ED1"/>
    <w:rsid w:val="00C602EF"/>
    <w:rsid w:val="00C60569"/>
    <w:rsid w:val="00C60A7F"/>
    <w:rsid w:val="00C61555"/>
    <w:rsid w:val="00C61E58"/>
    <w:rsid w:val="00C61FDB"/>
    <w:rsid w:val="00C62196"/>
    <w:rsid w:val="00C62599"/>
    <w:rsid w:val="00C6267A"/>
    <w:rsid w:val="00C62A1D"/>
    <w:rsid w:val="00C634C4"/>
    <w:rsid w:val="00C63B35"/>
    <w:rsid w:val="00C63C60"/>
    <w:rsid w:val="00C64D0D"/>
    <w:rsid w:val="00C65933"/>
    <w:rsid w:val="00C660C4"/>
    <w:rsid w:val="00C660E8"/>
    <w:rsid w:val="00C660FE"/>
    <w:rsid w:val="00C67004"/>
    <w:rsid w:val="00C67067"/>
    <w:rsid w:val="00C67D42"/>
    <w:rsid w:val="00C700F2"/>
    <w:rsid w:val="00C70293"/>
    <w:rsid w:val="00C70435"/>
    <w:rsid w:val="00C705B1"/>
    <w:rsid w:val="00C7097F"/>
    <w:rsid w:val="00C70F55"/>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3C6"/>
    <w:rsid w:val="00C7751C"/>
    <w:rsid w:val="00C7792B"/>
    <w:rsid w:val="00C800AB"/>
    <w:rsid w:val="00C800DB"/>
    <w:rsid w:val="00C804FD"/>
    <w:rsid w:val="00C81176"/>
    <w:rsid w:val="00C813BA"/>
    <w:rsid w:val="00C81429"/>
    <w:rsid w:val="00C814EF"/>
    <w:rsid w:val="00C81ADB"/>
    <w:rsid w:val="00C81EE8"/>
    <w:rsid w:val="00C824AD"/>
    <w:rsid w:val="00C82E1A"/>
    <w:rsid w:val="00C82F33"/>
    <w:rsid w:val="00C83238"/>
    <w:rsid w:val="00C83931"/>
    <w:rsid w:val="00C83C10"/>
    <w:rsid w:val="00C847BF"/>
    <w:rsid w:val="00C8538E"/>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98"/>
    <w:rsid w:val="00C92376"/>
    <w:rsid w:val="00C927F8"/>
    <w:rsid w:val="00C92A10"/>
    <w:rsid w:val="00C92DC1"/>
    <w:rsid w:val="00C9304F"/>
    <w:rsid w:val="00C933CD"/>
    <w:rsid w:val="00C937B2"/>
    <w:rsid w:val="00C93B6C"/>
    <w:rsid w:val="00C93CE4"/>
    <w:rsid w:val="00C93E6D"/>
    <w:rsid w:val="00C944D6"/>
    <w:rsid w:val="00C967DE"/>
    <w:rsid w:val="00C97466"/>
    <w:rsid w:val="00C97747"/>
    <w:rsid w:val="00C979D8"/>
    <w:rsid w:val="00CA05D9"/>
    <w:rsid w:val="00CA18E6"/>
    <w:rsid w:val="00CA1CC7"/>
    <w:rsid w:val="00CA1FF5"/>
    <w:rsid w:val="00CA2F1B"/>
    <w:rsid w:val="00CA32F1"/>
    <w:rsid w:val="00CA3657"/>
    <w:rsid w:val="00CA3A71"/>
    <w:rsid w:val="00CA3CFD"/>
    <w:rsid w:val="00CA4314"/>
    <w:rsid w:val="00CA47F1"/>
    <w:rsid w:val="00CA4905"/>
    <w:rsid w:val="00CA4B17"/>
    <w:rsid w:val="00CA4C00"/>
    <w:rsid w:val="00CA4FF1"/>
    <w:rsid w:val="00CA52C3"/>
    <w:rsid w:val="00CA5C84"/>
    <w:rsid w:val="00CA68DC"/>
    <w:rsid w:val="00CA7939"/>
    <w:rsid w:val="00CB0204"/>
    <w:rsid w:val="00CB022D"/>
    <w:rsid w:val="00CB0372"/>
    <w:rsid w:val="00CB07CD"/>
    <w:rsid w:val="00CB0ADE"/>
    <w:rsid w:val="00CB0D17"/>
    <w:rsid w:val="00CB1745"/>
    <w:rsid w:val="00CB1877"/>
    <w:rsid w:val="00CB356E"/>
    <w:rsid w:val="00CB3E9A"/>
    <w:rsid w:val="00CB3F32"/>
    <w:rsid w:val="00CB419F"/>
    <w:rsid w:val="00CB425C"/>
    <w:rsid w:val="00CB4297"/>
    <w:rsid w:val="00CB4869"/>
    <w:rsid w:val="00CB4C3E"/>
    <w:rsid w:val="00CB4D7B"/>
    <w:rsid w:val="00CB5455"/>
    <w:rsid w:val="00CB56E0"/>
    <w:rsid w:val="00CB5851"/>
    <w:rsid w:val="00CB593F"/>
    <w:rsid w:val="00CB5ACC"/>
    <w:rsid w:val="00CB5B1A"/>
    <w:rsid w:val="00CB608E"/>
    <w:rsid w:val="00CB60B6"/>
    <w:rsid w:val="00CB7165"/>
    <w:rsid w:val="00CC0902"/>
    <w:rsid w:val="00CC0A4D"/>
    <w:rsid w:val="00CC109E"/>
    <w:rsid w:val="00CC127D"/>
    <w:rsid w:val="00CC252D"/>
    <w:rsid w:val="00CC38C6"/>
    <w:rsid w:val="00CC39AE"/>
    <w:rsid w:val="00CC3F37"/>
    <w:rsid w:val="00CC5006"/>
    <w:rsid w:val="00CC529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6C16"/>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4D4B"/>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CEE"/>
    <w:rsid w:val="00CF1FF1"/>
    <w:rsid w:val="00CF31D0"/>
    <w:rsid w:val="00CF36B4"/>
    <w:rsid w:val="00CF384B"/>
    <w:rsid w:val="00CF3F14"/>
    <w:rsid w:val="00CF3FEA"/>
    <w:rsid w:val="00CF4748"/>
    <w:rsid w:val="00CF4C39"/>
    <w:rsid w:val="00CF4DA3"/>
    <w:rsid w:val="00CF525A"/>
    <w:rsid w:val="00CF5F85"/>
    <w:rsid w:val="00CF60FE"/>
    <w:rsid w:val="00CF62C5"/>
    <w:rsid w:val="00CF67D1"/>
    <w:rsid w:val="00CF6C25"/>
    <w:rsid w:val="00CF6F7F"/>
    <w:rsid w:val="00CF6FC1"/>
    <w:rsid w:val="00CF7100"/>
    <w:rsid w:val="00CF785E"/>
    <w:rsid w:val="00D00388"/>
    <w:rsid w:val="00D0127E"/>
    <w:rsid w:val="00D01467"/>
    <w:rsid w:val="00D01FB4"/>
    <w:rsid w:val="00D021AC"/>
    <w:rsid w:val="00D02512"/>
    <w:rsid w:val="00D02587"/>
    <w:rsid w:val="00D025CE"/>
    <w:rsid w:val="00D027F3"/>
    <w:rsid w:val="00D02976"/>
    <w:rsid w:val="00D0316C"/>
    <w:rsid w:val="00D03743"/>
    <w:rsid w:val="00D0375B"/>
    <w:rsid w:val="00D038CC"/>
    <w:rsid w:val="00D03DA0"/>
    <w:rsid w:val="00D04BAD"/>
    <w:rsid w:val="00D05577"/>
    <w:rsid w:val="00D05993"/>
    <w:rsid w:val="00D059AC"/>
    <w:rsid w:val="00D06040"/>
    <w:rsid w:val="00D06861"/>
    <w:rsid w:val="00D069FC"/>
    <w:rsid w:val="00D06ADA"/>
    <w:rsid w:val="00D07F67"/>
    <w:rsid w:val="00D10A07"/>
    <w:rsid w:val="00D10D0E"/>
    <w:rsid w:val="00D10E22"/>
    <w:rsid w:val="00D10EA6"/>
    <w:rsid w:val="00D11113"/>
    <w:rsid w:val="00D113C2"/>
    <w:rsid w:val="00D11CE9"/>
    <w:rsid w:val="00D11E25"/>
    <w:rsid w:val="00D12639"/>
    <w:rsid w:val="00D12B02"/>
    <w:rsid w:val="00D12B6B"/>
    <w:rsid w:val="00D131E5"/>
    <w:rsid w:val="00D135FE"/>
    <w:rsid w:val="00D13C34"/>
    <w:rsid w:val="00D13E60"/>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28B"/>
    <w:rsid w:val="00D34D7D"/>
    <w:rsid w:val="00D34DA6"/>
    <w:rsid w:val="00D350D7"/>
    <w:rsid w:val="00D3568F"/>
    <w:rsid w:val="00D35825"/>
    <w:rsid w:val="00D35C80"/>
    <w:rsid w:val="00D364B0"/>
    <w:rsid w:val="00D365FA"/>
    <w:rsid w:val="00D367E3"/>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AD4"/>
    <w:rsid w:val="00D46E68"/>
    <w:rsid w:val="00D46F6B"/>
    <w:rsid w:val="00D502ED"/>
    <w:rsid w:val="00D5068D"/>
    <w:rsid w:val="00D50809"/>
    <w:rsid w:val="00D50C48"/>
    <w:rsid w:val="00D519ED"/>
    <w:rsid w:val="00D526BD"/>
    <w:rsid w:val="00D536C4"/>
    <w:rsid w:val="00D546B8"/>
    <w:rsid w:val="00D54CF8"/>
    <w:rsid w:val="00D54D64"/>
    <w:rsid w:val="00D55098"/>
    <w:rsid w:val="00D55512"/>
    <w:rsid w:val="00D55974"/>
    <w:rsid w:val="00D55CA3"/>
    <w:rsid w:val="00D56BF0"/>
    <w:rsid w:val="00D56F1C"/>
    <w:rsid w:val="00D57911"/>
    <w:rsid w:val="00D60887"/>
    <w:rsid w:val="00D6210F"/>
    <w:rsid w:val="00D62768"/>
    <w:rsid w:val="00D6289D"/>
    <w:rsid w:val="00D62B66"/>
    <w:rsid w:val="00D62D33"/>
    <w:rsid w:val="00D632FF"/>
    <w:rsid w:val="00D6367A"/>
    <w:rsid w:val="00D63692"/>
    <w:rsid w:val="00D63B10"/>
    <w:rsid w:val="00D63C74"/>
    <w:rsid w:val="00D64601"/>
    <w:rsid w:val="00D64659"/>
    <w:rsid w:val="00D646A2"/>
    <w:rsid w:val="00D66531"/>
    <w:rsid w:val="00D66816"/>
    <w:rsid w:val="00D66D48"/>
    <w:rsid w:val="00D66DEA"/>
    <w:rsid w:val="00D67B2A"/>
    <w:rsid w:val="00D67FBD"/>
    <w:rsid w:val="00D70F22"/>
    <w:rsid w:val="00D70FFA"/>
    <w:rsid w:val="00D71347"/>
    <w:rsid w:val="00D71AEF"/>
    <w:rsid w:val="00D71FA0"/>
    <w:rsid w:val="00D724C9"/>
    <w:rsid w:val="00D72551"/>
    <w:rsid w:val="00D72647"/>
    <w:rsid w:val="00D72765"/>
    <w:rsid w:val="00D72ED4"/>
    <w:rsid w:val="00D72F71"/>
    <w:rsid w:val="00D73264"/>
    <w:rsid w:val="00D742E5"/>
    <w:rsid w:val="00D74484"/>
    <w:rsid w:val="00D749C8"/>
    <w:rsid w:val="00D74B8C"/>
    <w:rsid w:val="00D74F19"/>
    <w:rsid w:val="00D75E9A"/>
    <w:rsid w:val="00D76400"/>
    <w:rsid w:val="00D764D7"/>
    <w:rsid w:val="00D7660A"/>
    <w:rsid w:val="00D766CC"/>
    <w:rsid w:val="00D769AD"/>
    <w:rsid w:val="00D7746C"/>
    <w:rsid w:val="00D775A3"/>
    <w:rsid w:val="00D81B5C"/>
    <w:rsid w:val="00D82882"/>
    <w:rsid w:val="00D828D0"/>
    <w:rsid w:val="00D829D5"/>
    <w:rsid w:val="00D82A8F"/>
    <w:rsid w:val="00D82F37"/>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C93"/>
    <w:rsid w:val="00D92D27"/>
    <w:rsid w:val="00D92DCD"/>
    <w:rsid w:val="00D92FB6"/>
    <w:rsid w:val="00D93052"/>
    <w:rsid w:val="00D943F6"/>
    <w:rsid w:val="00D944DC"/>
    <w:rsid w:val="00D94788"/>
    <w:rsid w:val="00D94882"/>
    <w:rsid w:val="00D9492F"/>
    <w:rsid w:val="00D94C5B"/>
    <w:rsid w:val="00D94CED"/>
    <w:rsid w:val="00D95561"/>
    <w:rsid w:val="00D958B5"/>
    <w:rsid w:val="00D95E62"/>
    <w:rsid w:val="00D97496"/>
    <w:rsid w:val="00DA0844"/>
    <w:rsid w:val="00DA0CB5"/>
    <w:rsid w:val="00DA0FCA"/>
    <w:rsid w:val="00DA1089"/>
    <w:rsid w:val="00DA1426"/>
    <w:rsid w:val="00DA151F"/>
    <w:rsid w:val="00DA1AD9"/>
    <w:rsid w:val="00DA2029"/>
    <w:rsid w:val="00DA22B8"/>
    <w:rsid w:val="00DA236C"/>
    <w:rsid w:val="00DA2631"/>
    <w:rsid w:val="00DA2EA2"/>
    <w:rsid w:val="00DA3097"/>
    <w:rsid w:val="00DA30C4"/>
    <w:rsid w:val="00DA3150"/>
    <w:rsid w:val="00DA3F23"/>
    <w:rsid w:val="00DA3F58"/>
    <w:rsid w:val="00DA44D7"/>
    <w:rsid w:val="00DA475C"/>
    <w:rsid w:val="00DA49A3"/>
    <w:rsid w:val="00DA5004"/>
    <w:rsid w:val="00DA53BB"/>
    <w:rsid w:val="00DA5994"/>
    <w:rsid w:val="00DA5D92"/>
    <w:rsid w:val="00DA5EEF"/>
    <w:rsid w:val="00DA6348"/>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4D4"/>
    <w:rsid w:val="00DB76FC"/>
    <w:rsid w:val="00DB79DE"/>
    <w:rsid w:val="00DB7DED"/>
    <w:rsid w:val="00DC010B"/>
    <w:rsid w:val="00DC04C5"/>
    <w:rsid w:val="00DC0C04"/>
    <w:rsid w:val="00DC13B4"/>
    <w:rsid w:val="00DC1A3C"/>
    <w:rsid w:val="00DC21E8"/>
    <w:rsid w:val="00DC26A9"/>
    <w:rsid w:val="00DC26D5"/>
    <w:rsid w:val="00DC2BBF"/>
    <w:rsid w:val="00DC34DB"/>
    <w:rsid w:val="00DC4FD3"/>
    <w:rsid w:val="00DC5F8E"/>
    <w:rsid w:val="00DC646F"/>
    <w:rsid w:val="00DC6759"/>
    <w:rsid w:val="00DC71CC"/>
    <w:rsid w:val="00DD050B"/>
    <w:rsid w:val="00DD0A96"/>
    <w:rsid w:val="00DD1880"/>
    <w:rsid w:val="00DD1E96"/>
    <w:rsid w:val="00DD2002"/>
    <w:rsid w:val="00DD2074"/>
    <w:rsid w:val="00DD20C4"/>
    <w:rsid w:val="00DD34DA"/>
    <w:rsid w:val="00DD387C"/>
    <w:rsid w:val="00DD43B2"/>
    <w:rsid w:val="00DD452B"/>
    <w:rsid w:val="00DD4680"/>
    <w:rsid w:val="00DD46DA"/>
    <w:rsid w:val="00DD53BF"/>
    <w:rsid w:val="00DD621B"/>
    <w:rsid w:val="00DD6552"/>
    <w:rsid w:val="00DD68E5"/>
    <w:rsid w:val="00DD7161"/>
    <w:rsid w:val="00DD7250"/>
    <w:rsid w:val="00DD7671"/>
    <w:rsid w:val="00DD7E2B"/>
    <w:rsid w:val="00DE0354"/>
    <w:rsid w:val="00DE03AB"/>
    <w:rsid w:val="00DE0D2C"/>
    <w:rsid w:val="00DE139C"/>
    <w:rsid w:val="00DE1732"/>
    <w:rsid w:val="00DE1A70"/>
    <w:rsid w:val="00DE1AEE"/>
    <w:rsid w:val="00DE2AAB"/>
    <w:rsid w:val="00DE2FDC"/>
    <w:rsid w:val="00DE38A6"/>
    <w:rsid w:val="00DE4232"/>
    <w:rsid w:val="00DE46A7"/>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6E0E"/>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1F"/>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CE9"/>
    <w:rsid w:val="00E15ECE"/>
    <w:rsid w:val="00E16A40"/>
    <w:rsid w:val="00E16D54"/>
    <w:rsid w:val="00E171CC"/>
    <w:rsid w:val="00E174EE"/>
    <w:rsid w:val="00E20189"/>
    <w:rsid w:val="00E206F5"/>
    <w:rsid w:val="00E21377"/>
    <w:rsid w:val="00E213FE"/>
    <w:rsid w:val="00E2177B"/>
    <w:rsid w:val="00E2184A"/>
    <w:rsid w:val="00E21D30"/>
    <w:rsid w:val="00E22291"/>
    <w:rsid w:val="00E2234B"/>
    <w:rsid w:val="00E227AC"/>
    <w:rsid w:val="00E22B45"/>
    <w:rsid w:val="00E23244"/>
    <w:rsid w:val="00E2325D"/>
    <w:rsid w:val="00E236F8"/>
    <w:rsid w:val="00E24936"/>
    <w:rsid w:val="00E2505A"/>
    <w:rsid w:val="00E25636"/>
    <w:rsid w:val="00E25656"/>
    <w:rsid w:val="00E25852"/>
    <w:rsid w:val="00E25A75"/>
    <w:rsid w:val="00E25F15"/>
    <w:rsid w:val="00E2602E"/>
    <w:rsid w:val="00E263CB"/>
    <w:rsid w:val="00E2642D"/>
    <w:rsid w:val="00E264F2"/>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2BA0"/>
    <w:rsid w:val="00E62BD3"/>
    <w:rsid w:val="00E63321"/>
    <w:rsid w:val="00E63920"/>
    <w:rsid w:val="00E63CE4"/>
    <w:rsid w:val="00E63CF8"/>
    <w:rsid w:val="00E63EEE"/>
    <w:rsid w:val="00E64161"/>
    <w:rsid w:val="00E659B8"/>
    <w:rsid w:val="00E65BB7"/>
    <w:rsid w:val="00E6669D"/>
    <w:rsid w:val="00E67A7C"/>
    <w:rsid w:val="00E67FAC"/>
    <w:rsid w:val="00E70BDC"/>
    <w:rsid w:val="00E70F17"/>
    <w:rsid w:val="00E70F1A"/>
    <w:rsid w:val="00E712B7"/>
    <w:rsid w:val="00E71B36"/>
    <w:rsid w:val="00E72ACE"/>
    <w:rsid w:val="00E7303C"/>
    <w:rsid w:val="00E73955"/>
    <w:rsid w:val="00E73D97"/>
    <w:rsid w:val="00E7406A"/>
    <w:rsid w:val="00E742F5"/>
    <w:rsid w:val="00E7470D"/>
    <w:rsid w:val="00E74FD8"/>
    <w:rsid w:val="00E75521"/>
    <w:rsid w:val="00E7693C"/>
    <w:rsid w:val="00E769EC"/>
    <w:rsid w:val="00E76C12"/>
    <w:rsid w:val="00E77DBE"/>
    <w:rsid w:val="00E804A9"/>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EC5"/>
    <w:rsid w:val="00E878B5"/>
    <w:rsid w:val="00E87D23"/>
    <w:rsid w:val="00E90DA9"/>
    <w:rsid w:val="00E90E9A"/>
    <w:rsid w:val="00E91054"/>
    <w:rsid w:val="00E916D1"/>
    <w:rsid w:val="00E92038"/>
    <w:rsid w:val="00E9252A"/>
    <w:rsid w:val="00E926F4"/>
    <w:rsid w:val="00E927FF"/>
    <w:rsid w:val="00E93328"/>
    <w:rsid w:val="00E9340C"/>
    <w:rsid w:val="00E93892"/>
    <w:rsid w:val="00E93BA8"/>
    <w:rsid w:val="00E94B65"/>
    <w:rsid w:val="00E94BCD"/>
    <w:rsid w:val="00E95F84"/>
    <w:rsid w:val="00E965F4"/>
    <w:rsid w:val="00E966BF"/>
    <w:rsid w:val="00E97109"/>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3B1A"/>
    <w:rsid w:val="00EA3D31"/>
    <w:rsid w:val="00EA4720"/>
    <w:rsid w:val="00EA53E4"/>
    <w:rsid w:val="00EA541B"/>
    <w:rsid w:val="00EA5924"/>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619"/>
    <w:rsid w:val="00EB57EB"/>
    <w:rsid w:val="00EB5B0D"/>
    <w:rsid w:val="00EB5B44"/>
    <w:rsid w:val="00EB6123"/>
    <w:rsid w:val="00EB62FF"/>
    <w:rsid w:val="00EB67B9"/>
    <w:rsid w:val="00EB6E07"/>
    <w:rsid w:val="00EB7497"/>
    <w:rsid w:val="00EB7616"/>
    <w:rsid w:val="00EB7629"/>
    <w:rsid w:val="00EB77A4"/>
    <w:rsid w:val="00EB7911"/>
    <w:rsid w:val="00EB79DF"/>
    <w:rsid w:val="00EC17E6"/>
    <w:rsid w:val="00EC1847"/>
    <w:rsid w:val="00EC18F8"/>
    <w:rsid w:val="00EC1C18"/>
    <w:rsid w:val="00EC1E26"/>
    <w:rsid w:val="00EC22F3"/>
    <w:rsid w:val="00EC23C7"/>
    <w:rsid w:val="00EC23D1"/>
    <w:rsid w:val="00EC2674"/>
    <w:rsid w:val="00EC287A"/>
    <w:rsid w:val="00EC3B12"/>
    <w:rsid w:val="00EC3B50"/>
    <w:rsid w:val="00EC3E64"/>
    <w:rsid w:val="00EC41B4"/>
    <w:rsid w:val="00EC4B11"/>
    <w:rsid w:val="00EC5D67"/>
    <w:rsid w:val="00EC6754"/>
    <w:rsid w:val="00EC6DE1"/>
    <w:rsid w:val="00ED0B74"/>
    <w:rsid w:val="00ED0CEF"/>
    <w:rsid w:val="00ED0FEB"/>
    <w:rsid w:val="00ED197F"/>
    <w:rsid w:val="00ED1AE3"/>
    <w:rsid w:val="00ED224A"/>
    <w:rsid w:val="00ED2728"/>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19F"/>
    <w:rsid w:val="00EF0945"/>
    <w:rsid w:val="00EF16A7"/>
    <w:rsid w:val="00EF1CC2"/>
    <w:rsid w:val="00EF220B"/>
    <w:rsid w:val="00EF23A7"/>
    <w:rsid w:val="00EF2414"/>
    <w:rsid w:val="00EF2887"/>
    <w:rsid w:val="00EF2E6C"/>
    <w:rsid w:val="00EF31B9"/>
    <w:rsid w:val="00EF3FDD"/>
    <w:rsid w:val="00EF407C"/>
    <w:rsid w:val="00EF43C4"/>
    <w:rsid w:val="00EF4ABD"/>
    <w:rsid w:val="00EF4CB1"/>
    <w:rsid w:val="00EF5859"/>
    <w:rsid w:val="00EF5CED"/>
    <w:rsid w:val="00EF6360"/>
    <w:rsid w:val="00EF66D0"/>
    <w:rsid w:val="00EF7087"/>
    <w:rsid w:val="00EF75E3"/>
    <w:rsid w:val="00F002C5"/>
    <w:rsid w:val="00F010A0"/>
    <w:rsid w:val="00F010C8"/>
    <w:rsid w:val="00F013A4"/>
    <w:rsid w:val="00F01582"/>
    <w:rsid w:val="00F01D29"/>
    <w:rsid w:val="00F023BB"/>
    <w:rsid w:val="00F023D2"/>
    <w:rsid w:val="00F02AA5"/>
    <w:rsid w:val="00F02BF0"/>
    <w:rsid w:val="00F02FF9"/>
    <w:rsid w:val="00F0312F"/>
    <w:rsid w:val="00F038B2"/>
    <w:rsid w:val="00F040C0"/>
    <w:rsid w:val="00F05493"/>
    <w:rsid w:val="00F05E4E"/>
    <w:rsid w:val="00F060B8"/>
    <w:rsid w:val="00F061D8"/>
    <w:rsid w:val="00F06592"/>
    <w:rsid w:val="00F06BC7"/>
    <w:rsid w:val="00F06BD8"/>
    <w:rsid w:val="00F06C9A"/>
    <w:rsid w:val="00F07957"/>
    <w:rsid w:val="00F07A57"/>
    <w:rsid w:val="00F07F4B"/>
    <w:rsid w:val="00F10FA5"/>
    <w:rsid w:val="00F12982"/>
    <w:rsid w:val="00F133BA"/>
    <w:rsid w:val="00F136BE"/>
    <w:rsid w:val="00F1388D"/>
    <w:rsid w:val="00F142FE"/>
    <w:rsid w:val="00F14AEE"/>
    <w:rsid w:val="00F14AF2"/>
    <w:rsid w:val="00F14E11"/>
    <w:rsid w:val="00F15237"/>
    <w:rsid w:val="00F1534C"/>
    <w:rsid w:val="00F15427"/>
    <w:rsid w:val="00F15672"/>
    <w:rsid w:val="00F1584F"/>
    <w:rsid w:val="00F159E9"/>
    <w:rsid w:val="00F163EF"/>
    <w:rsid w:val="00F1649D"/>
    <w:rsid w:val="00F16943"/>
    <w:rsid w:val="00F17841"/>
    <w:rsid w:val="00F17E30"/>
    <w:rsid w:val="00F205A5"/>
    <w:rsid w:val="00F206CE"/>
    <w:rsid w:val="00F209FC"/>
    <w:rsid w:val="00F20C78"/>
    <w:rsid w:val="00F216F8"/>
    <w:rsid w:val="00F2171A"/>
    <w:rsid w:val="00F21A61"/>
    <w:rsid w:val="00F21D31"/>
    <w:rsid w:val="00F21DBA"/>
    <w:rsid w:val="00F22594"/>
    <w:rsid w:val="00F22AB1"/>
    <w:rsid w:val="00F22BB0"/>
    <w:rsid w:val="00F2311A"/>
    <w:rsid w:val="00F234DE"/>
    <w:rsid w:val="00F2367D"/>
    <w:rsid w:val="00F23AD4"/>
    <w:rsid w:val="00F23C47"/>
    <w:rsid w:val="00F24265"/>
    <w:rsid w:val="00F243B1"/>
    <w:rsid w:val="00F249ED"/>
    <w:rsid w:val="00F24D70"/>
    <w:rsid w:val="00F24E82"/>
    <w:rsid w:val="00F25097"/>
    <w:rsid w:val="00F253C5"/>
    <w:rsid w:val="00F255B8"/>
    <w:rsid w:val="00F25EC0"/>
    <w:rsid w:val="00F25F44"/>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2E32"/>
    <w:rsid w:val="00F32F9A"/>
    <w:rsid w:val="00F3370B"/>
    <w:rsid w:val="00F338EA"/>
    <w:rsid w:val="00F34185"/>
    <w:rsid w:val="00F341B4"/>
    <w:rsid w:val="00F35007"/>
    <w:rsid w:val="00F350A1"/>
    <w:rsid w:val="00F35598"/>
    <w:rsid w:val="00F35820"/>
    <w:rsid w:val="00F36235"/>
    <w:rsid w:val="00F36CA2"/>
    <w:rsid w:val="00F373EE"/>
    <w:rsid w:val="00F400C2"/>
    <w:rsid w:val="00F409DC"/>
    <w:rsid w:val="00F40C54"/>
    <w:rsid w:val="00F4135D"/>
    <w:rsid w:val="00F41365"/>
    <w:rsid w:val="00F4178B"/>
    <w:rsid w:val="00F41B87"/>
    <w:rsid w:val="00F4234E"/>
    <w:rsid w:val="00F42467"/>
    <w:rsid w:val="00F42491"/>
    <w:rsid w:val="00F42D2F"/>
    <w:rsid w:val="00F434A2"/>
    <w:rsid w:val="00F43814"/>
    <w:rsid w:val="00F43851"/>
    <w:rsid w:val="00F438CF"/>
    <w:rsid w:val="00F43F7A"/>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21E4"/>
    <w:rsid w:val="00F529F9"/>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2EC"/>
    <w:rsid w:val="00F60AD2"/>
    <w:rsid w:val="00F60C3C"/>
    <w:rsid w:val="00F61454"/>
    <w:rsid w:val="00F615E9"/>
    <w:rsid w:val="00F61803"/>
    <w:rsid w:val="00F61E01"/>
    <w:rsid w:val="00F6295A"/>
    <w:rsid w:val="00F63088"/>
    <w:rsid w:val="00F637E3"/>
    <w:rsid w:val="00F63AA3"/>
    <w:rsid w:val="00F64133"/>
    <w:rsid w:val="00F64168"/>
    <w:rsid w:val="00F64397"/>
    <w:rsid w:val="00F644CD"/>
    <w:rsid w:val="00F648DE"/>
    <w:rsid w:val="00F64A95"/>
    <w:rsid w:val="00F64B83"/>
    <w:rsid w:val="00F64E5A"/>
    <w:rsid w:val="00F6517D"/>
    <w:rsid w:val="00F6558C"/>
    <w:rsid w:val="00F656BB"/>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72A"/>
    <w:rsid w:val="00F71F2F"/>
    <w:rsid w:val="00F72551"/>
    <w:rsid w:val="00F74753"/>
    <w:rsid w:val="00F74976"/>
    <w:rsid w:val="00F752C8"/>
    <w:rsid w:val="00F75744"/>
    <w:rsid w:val="00F779FF"/>
    <w:rsid w:val="00F77C1D"/>
    <w:rsid w:val="00F77D23"/>
    <w:rsid w:val="00F80228"/>
    <w:rsid w:val="00F80CE3"/>
    <w:rsid w:val="00F81018"/>
    <w:rsid w:val="00F81BA3"/>
    <w:rsid w:val="00F81BF4"/>
    <w:rsid w:val="00F8230D"/>
    <w:rsid w:val="00F825F1"/>
    <w:rsid w:val="00F826F8"/>
    <w:rsid w:val="00F82909"/>
    <w:rsid w:val="00F82A8B"/>
    <w:rsid w:val="00F82BDC"/>
    <w:rsid w:val="00F8318A"/>
    <w:rsid w:val="00F833E4"/>
    <w:rsid w:val="00F837AB"/>
    <w:rsid w:val="00F838AC"/>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79E"/>
    <w:rsid w:val="00F9779F"/>
    <w:rsid w:val="00F97A08"/>
    <w:rsid w:val="00F97E93"/>
    <w:rsid w:val="00FA083D"/>
    <w:rsid w:val="00FA0FDB"/>
    <w:rsid w:val="00FA11D0"/>
    <w:rsid w:val="00FA1B18"/>
    <w:rsid w:val="00FA1DCF"/>
    <w:rsid w:val="00FA1E17"/>
    <w:rsid w:val="00FA2A6F"/>
    <w:rsid w:val="00FA55DC"/>
    <w:rsid w:val="00FA5984"/>
    <w:rsid w:val="00FA5A2D"/>
    <w:rsid w:val="00FA7068"/>
    <w:rsid w:val="00FA72AF"/>
    <w:rsid w:val="00FA767B"/>
    <w:rsid w:val="00FB00A7"/>
    <w:rsid w:val="00FB0509"/>
    <w:rsid w:val="00FB057F"/>
    <w:rsid w:val="00FB08C2"/>
    <w:rsid w:val="00FB0975"/>
    <w:rsid w:val="00FB09FE"/>
    <w:rsid w:val="00FB15F4"/>
    <w:rsid w:val="00FB1658"/>
    <w:rsid w:val="00FB184F"/>
    <w:rsid w:val="00FB1EAC"/>
    <w:rsid w:val="00FB1EF8"/>
    <w:rsid w:val="00FB236D"/>
    <w:rsid w:val="00FB24A3"/>
    <w:rsid w:val="00FB2B74"/>
    <w:rsid w:val="00FB3316"/>
    <w:rsid w:val="00FB36D2"/>
    <w:rsid w:val="00FB4292"/>
    <w:rsid w:val="00FB4671"/>
    <w:rsid w:val="00FB469A"/>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3DC0"/>
    <w:rsid w:val="00FC4011"/>
    <w:rsid w:val="00FC46B9"/>
    <w:rsid w:val="00FC494C"/>
    <w:rsid w:val="00FC4EC5"/>
    <w:rsid w:val="00FC593D"/>
    <w:rsid w:val="00FC5BF3"/>
    <w:rsid w:val="00FC5F32"/>
    <w:rsid w:val="00FC6181"/>
    <w:rsid w:val="00FC6344"/>
    <w:rsid w:val="00FC64C5"/>
    <w:rsid w:val="00FC78E7"/>
    <w:rsid w:val="00FC7B1B"/>
    <w:rsid w:val="00FC7DCE"/>
    <w:rsid w:val="00FD0281"/>
    <w:rsid w:val="00FD0390"/>
    <w:rsid w:val="00FD04D8"/>
    <w:rsid w:val="00FD0F95"/>
    <w:rsid w:val="00FD1DF6"/>
    <w:rsid w:val="00FD2405"/>
    <w:rsid w:val="00FD2C9D"/>
    <w:rsid w:val="00FD2ECB"/>
    <w:rsid w:val="00FD38A3"/>
    <w:rsid w:val="00FD3A4F"/>
    <w:rsid w:val="00FD491E"/>
    <w:rsid w:val="00FD498D"/>
    <w:rsid w:val="00FD4A80"/>
    <w:rsid w:val="00FD4FF4"/>
    <w:rsid w:val="00FD5284"/>
    <w:rsid w:val="00FD56D9"/>
    <w:rsid w:val="00FD5881"/>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2871"/>
    <w:rsid w:val="00FE43EF"/>
    <w:rsid w:val="00FE4634"/>
    <w:rsid w:val="00FE46D0"/>
    <w:rsid w:val="00FE48EE"/>
    <w:rsid w:val="00FE4C99"/>
    <w:rsid w:val="00FE4F89"/>
    <w:rsid w:val="00FE5276"/>
    <w:rsid w:val="00FE5316"/>
    <w:rsid w:val="00FE60C1"/>
    <w:rsid w:val="00FE67D7"/>
    <w:rsid w:val="00FE68D7"/>
    <w:rsid w:val="00FE6B7C"/>
    <w:rsid w:val="00FE6BAC"/>
    <w:rsid w:val="00FE6E6E"/>
    <w:rsid w:val="00FE7450"/>
    <w:rsid w:val="00FE7545"/>
    <w:rsid w:val="00FE7691"/>
    <w:rsid w:val="00FE7E8E"/>
    <w:rsid w:val="00FF010A"/>
    <w:rsid w:val="00FF0563"/>
    <w:rsid w:val="00FF0626"/>
    <w:rsid w:val="00FF0668"/>
    <w:rsid w:val="00FF13A0"/>
    <w:rsid w:val="00FF1705"/>
    <w:rsid w:val="00FF1927"/>
    <w:rsid w:val="00FF1AF2"/>
    <w:rsid w:val="00FF1F92"/>
    <w:rsid w:val="00FF212A"/>
    <w:rsid w:val="00FF3457"/>
    <w:rsid w:val="00FF36B7"/>
    <w:rsid w:val="00FF468D"/>
    <w:rsid w:val="00FF48DD"/>
    <w:rsid w:val="00FF4924"/>
    <w:rsid w:val="00FF6064"/>
    <w:rsid w:val="00FF6319"/>
    <w:rsid w:val="00FF7577"/>
    <w:rsid w:val="00FF7C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20">
    <w:name w:val="標題 2 字元"/>
    <w:aliases w:val="H2 字元,Head2A 字元,2 字元,h2 字元"/>
    <w:basedOn w:val="a0"/>
    <w:link w:val="2"/>
    <w:rsid w:val="00482FC9"/>
    <w:rPr>
      <w:rFonts w:ascii="Arial" w:hAnsi="Arial"/>
      <w:sz w:val="32"/>
      <w:lang w:val="en-GB" w:eastAsia="en-US"/>
    </w:rPr>
  </w:style>
  <w:style w:type="table" w:customStyle="1" w:styleId="14">
    <w:name w:val="表格格線1"/>
    <w:basedOn w:val="a1"/>
    <w:next w:val="af9"/>
    <w:uiPriority w:val="59"/>
    <w:rsid w:val="002E43B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4.xml><?xml version="1.0" encoding="utf-8"?>
<ds:datastoreItem xmlns:ds="http://schemas.openxmlformats.org/officeDocument/2006/customXml" ds:itemID="{46066E20-E4FE-4DFB-B7E0-1B19E7A96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1277</TotalTime>
  <Pages>1</Pages>
  <Words>1799</Words>
  <Characters>10260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Li-Chuan Tseng</dc:creator>
  <cp:keywords/>
  <dc:description/>
  <cp:lastModifiedBy>MediaTek</cp:lastModifiedBy>
  <cp:revision>188</cp:revision>
  <cp:lastPrinted>2007-12-21T04:58:00Z</cp:lastPrinted>
  <dcterms:created xsi:type="dcterms:W3CDTF">2019-06-18T08:51:00Z</dcterms:created>
  <dcterms:modified xsi:type="dcterms:W3CDTF">2019-10-03T06:33:00Z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